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tabs>
          <w:tab w:pos="10092" w:val="right"/>
        </w:tabs>
        <w:spacing w:line="720" w:lineRule="exact"/>
        <w:pBdr>
          <w:bottom w:val="single" w:sz="12" w:color="193C8E"/>
        </w:pBdr>
      </w:pPr>
      <w:r>
        <w:rPr>
          <w:rFonts w:ascii="Montserrat" w:hAnsi="Montserrat" w:eastAsia="Montserrat" w:cs="Montserrat"/>
          <w:b/>
          <w:color w:val="4C73D1"/>
          <w:sz w:val="16"/>
        </w:rPr>
        <w:t>ANÁLISE DA CDT</w:t>
      </w:r>
      <w:r>
        <w:tab/>
        <w:drawing>
          <wp:inline xmlns:a="http://schemas.openxmlformats.org/drawingml/2006/main" xmlns:pic="http://schemas.openxmlformats.org/drawingml/2006/picture">
            <wp:extent cx="1080000" cy="4048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cce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4048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  <w:spacing w:before="0" w:after="120"/>
      </w:pPr>
      <w:r>
        <w:rPr>
          <w:rFonts w:ascii="Montserrat" w:hAnsi="Montserrat" w:eastAsia="Montserrat" w:cs="Montserrat"/>
          <w:b/>
          <w:color w:val="193C8E"/>
          <w:sz w:val="50"/>
        </w:rPr>
        <w:t>EXEMPLO FICTÍCIO: Formulário guiado para pedidos de dados históricos</w:t>
      </w:r>
    </w:p>
    <w:p>
      <w:pPr>
        <w:spacing w:before="0" w:after="100" w:line="165" w:lineRule="exact"/>
      </w:pPr>
      <w:r/>
      <w:r>
        <w:rPr>
          <w:rFonts w:ascii="Montserrat" w:hAnsi="Montserrat" w:eastAsia="Montserrat" w:cs="Montserrat"/>
          <w:b w:val="0"/>
          <w:color w:val="586EA4"/>
          <w:sz w:val="15"/>
        </w:rPr>
        <w:t>ID sample-cdt-analise · versão 1.3.0 · Completo</w:t>
      </w:r>
    </w:p>
    <w:p>
      <w:pPr>
        <w:spacing w:before="0" w:after="0" w:line="283" w:lineRule="exact"/>
      </w:pPr>
      <w:r/>
      <w:r>
        <w:rPr>
          <w:rFonts w:ascii="Montserrat" w:hAnsi="Montserrat" w:eastAsia="Montserrat" w:cs="Montserrat"/>
          <w:b w:val="0"/>
          <w:color w:val="102661"/>
          <w:sz w:val="21"/>
        </w:rPr>
        <w:t>Amostra de validação visual e estrutural. Dados, pessoas e resultados são fictícios.</w:t>
      </w:r>
    </w:p>
    <w:p>
      <w:pPr>
        <w:pStyle w:val="Heading1"/>
        <w:spacing w:before="200" w:after="140" w:line="264" w:lineRule="exact"/>
        <w:shd w:fill="102661"/>
      </w:pPr>
      <w:r>
        <w:rPr>
          <w:caps/>
          <w:color w:val="FFFFFF"/>
        </w:rPr>
      </w:r>
      <w:r>
        <w:rPr>
          <w:rFonts w:ascii="Montserrat" w:hAnsi="Montserrat" w:eastAsia="Montserrat" w:cs="Montserrat"/>
          <w:b/>
          <w:caps/>
          <w:color w:val="FFFFFF"/>
          <w:sz w:val="22"/>
        </w:rPr>
        <w:t>Estado da CDT</w:t>
      </w:r>
    </w:p>
    <w:p>
      <w:pPr>
        <w:spacing w:after="140" w:line="256" w:lineRule="exact"/>
      </w:pPr>
      <w:r>
        <w:rPr>
          <w:rFonts w:ascii="Montserrat" w:hAnsi="Montserrat" w:eastAsia="Montserrat" w:cs="Montserrat"/>
          <w:b w:val="0"/>
          <w:color w:val="30343B"/>
          <w:sz w:val="19"/>
        </w:rPr>
        <w:t>Pronta para envio. As cinco perguntas da Descrição estão respondidas, sem ponto em aberto, e os seis itens do checklist estão atendidos. Principal ponto fraco: a meta de horas foi medida só no piloto.</w:t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Fontes: FIC-01</w:t>
      </w:r>
    </w:p>
    <w:p>
      <w:pPr>
        <w:spacing w:before="0" w:after="16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pStyle w:val="Heading1"/>
        <w:spacing w:before="200" w:after="140" w:line="264" w:lineRule="exact"/>
        <w:shd w:fill="102661"/>
      </w:pPr>
      <w:r>
        <w:rPr>
          <w:caps/>
          <w:color w:val="FFFFFF"/>
        </w:rPr>
      </w:r>
      <w:r>
        <w:rPr>
          <w:rFonts w:ascii="Montserrat" w:hAnsi="Montserrat" w:eastAsia="Montserrat" w:cs="Montserrat"/>
          <w:b/>
          <w:caps/>
          <w:color w:val="FFFFFF"/>
          <w:sz w:val="22"/>
        </w:rPr>
        <w:t>Checklist do comunicado</w:t>
      </w:r>
    </w:p>
    <w:p>
      <w:pPr>
        <w:spacing w:after="140" w:line="256" w:lineRule="exact"/>
      </w:pPr>
      <w:r>
        <w:rPr>
          <w:rFonts w:ascii="Montserrat" w:hAnsi="Montserrat" w:eastAsia="Montserrat" w:cs="Montserrat"/>
          <w:b w:val="0"/>
          <w:color w:val="30343B"/>
          <w:sz w:val="19"/>
        </w:rPr>
        <w:t>- Problema e objetivo: atendido. Descrição, primeira e quarta perguntas.</w:t>
        <w:br/>
        <w:t>- Públicos impactados: atendido. Descrição, segunda pergunta.</w:t>
        <w:br/>
        <w:t>- Entregas essenciais: atendido. Descrição, quinta pergunta.</w:t>
        <w:br/>
        <w:t>- Prioridades e resultados esperados: atendido. Descrição, quarta e quinta perguntas; a meta de horas é proposta.</w:t>
        <w:br/>
        <w:t>- Regras, restrições e dependências: atendido. Campos obrigatórios variam por tipo de pedido; os pedidos trazem nome e telefone de contatos (dados pessoais); o acesso externo segue a autenticação da Tecnologia.</w:t>
        <w:br/>
        <w:t>- Responsáveis: atendido. Nossa coordenação de atendimento esclarece dúvidas e valida as entregas; eu, como gerente, decido mudanças de escopo.</w:t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Fontes: FIC-01, FIC-02</w:t>
      </w:r>
    </w:p>
    <w:p>
      <w:pPr>
        <w:spacing w:before="0" w:after="16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pStyle w:val="Heading1"/>
        <w:spacing w:before="200" w:after="140" w:line="264" w:lineRule="exact"/>
        <w:shd w:fill="102661"/>
      </w:pPr>
      <w:r>
        <w:rPr>
          <w:caps/>
          <w:color w:val="FFFFFF"/>
        </w:rPr>
      </w:r>
      <w:r>
        <w:rPr>
          <w:rFonts w:ascii="Montserrat" w:hAnsi="Montserrat" w:eastAsia="Montserrat" w:cs="Montserrat"/>
          <w:b/>
          <w:caps/>
          <w:color w:val="FFFFFF"/>
          <w:sz w:val="22"/>
        </w:rPr>
        <w:t>O que obter e analisar primeiro</w:t>
      </w:r>
    </w:p>
    <w:p>
      <w:pPr>
        <w:spacing w:after="140" w:line="256" w:lineRule="exact"/>
      </w:pPr>
      <w:r>
        <w:rPr>
          <w:rFonts w:ascii="Montserrat" w:hAnsi="Montserrat" w:eastAsia="Montserrat" w:cs="Montserrat"/>
          <w:b w:val="0"/>
          <w:color w:val="30343B"/>
          <w:sz w:val="19"/>
        </w:rPr>
        <w:t>Nenhum dado pendente para o envio. Antes da conversa com a Tecnologia, vale obter e analisar, nesta ordem:</w:t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Fontes: FIC-02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682"/>
        <w:gridCol w:w="1682"/>
        <w:gridCol w:w="1682"/>
        <w:gridCol w:w="1682"/>
        <w:gridCol w:w="1682"/>
        <w:gridCol w:w="1682"/>
      </w:tblGrid>
      <w:tr>
        <w:tc>
          <w:tcPr>
            <w:tcW w:type="dxa" w:w="1682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Prioridade</w:t>
            </w:r>
          </w:p>
        </w:tc>
        <w:tc>
          <w:tcPr>
            <w:tcW w:type="dxa" w:w="1682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Dado</w:t>
            </w:r>
          </w:p>
        </w:tc>
        <w:tc>
          <w:tcPr>
            <w:tcW w:type="dxa" w:w="1682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Por que importa</w:t>
            </w:r>
          </w:p>
        </w:tc>
        <w:tc>
          <w:tcPr>
            <w:tcW w:type="dxa" w:w="1682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Com quem</w:t>
            </w:r>
          </w:p>
        </w:tc>
        <w:tc>
          <w:tcPr>
            <w:tcW w:type="dxa" w:w="1682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Pergunta</w:t>
            </w:r>
          </w:p>
        </w:tc>
        <w:tc>
          <w:tcPr>
            <w:tcW w:type="dxa" w:w="1682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Impede o envio?</w:t>
            </w:r>
          </w:p>
        </w:tc>
      </w:tr>
      <w:tr>
        <w:tc>
          <w:tcPr>
            <w:tcW w:type="dxa" w:w="1682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1</w:t>
            </w:r>
          </w:p>
        </w:tc>
        <w:tc>
          <w:tcPr>
            <w:tcW w:type="dxa" w:w="1682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Campos por tipo de pedido</w:t>
            </w:r>
          </w:p>
        </w:tc>
        <w:tc>
          <w:tcPr>
            <w:tcW w:type="dxa" w:w="1682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Define o essencial do formulário</w:t>
            </w:r>
          </w:p>
        </w:tc>
        <w:tc>
          <w:tcPr>
            <w:tcW w:type="dxa" w:w="1682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Equipe de atendimento</w:t>
            </w:r>
          </w:p>
        </w:tc>
        <w:tc>
          <w:tcPr>
            <w:tcW w:type="dxa" w:w="1682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Quais campos cada tipo de pedido exige?</w:t>
            </w:r>
          </w:p>
        </w:tc>
        <w:tc>
          <w:tcPr>
            <w:tcW w:type="dxa" w:w="1682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Não</w:t>
            </w:r>
          </w:p>
        </w:tc>
      </w:tr>
      <w:tr>
        <w:tc>
          <w:tcPr>
            <w:tcW w:type="dxa" w:w="1682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2</w:t>
            </w:r>
          </w:p>
        </w:tc>
        <w:tc>
          <w:tcPr>
            <w:tcW w:type="dxa" w:w="1682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Horas mensais com complementos</w:t>
            </w:r>
          </w:p>
        </w:tc>
        <w:tc>
          <w:tcPr>
            <w:tcW w:type="dxa" w:w="1682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Sustenta a meta dos Benefícios</w:t>
            </w:r>
          </w:p>
        </w:tc>
        <w:tc>
          <w:tcPr>
            <w:tcW w:type="dxa" w:w="1682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Gestão da área</w:t>
            </w:r>
          </w:p>
        </w:tc>
        <w:tc>
          <w:tcPr>
            <w:tcW w:type="dxa" w:w="1682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Quantas horas por mês a equipe gasta hoje com complementos?</w:t>
            </w:r>
          </w:p>
        </w:tc>
        <w:tc>
          <w:tcPr>
            <w:tcW w:type="dxa" w:w="1682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Não</w:t>
            </w:r>
          </w:p>
        </w:tc>
      </w:tr>
    </w:tbl>
    <w:p>
      <w:pPr>
        <w:spacing w:before="0" w:after="14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spacing w:before="0" w:after="16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pStyle w:val="Heading1"/>
        <w:spacing w:before="200" w:after="140" w:line="264" w:lineRule="exact"/>
        <w:shd w:fill="102661"/>
      </w:pPr>
      <w:r>
        <w:rPr>
          <w:caps/>
          <w:color w:val="FFFFFF"/>
        </w:rPr>
      </w:r>
      <w:r>
        <w:rPr>
          <w:rFonts w:ascii="Montserrat" w:hAnsi="Montserrat" w:eastAsia="Montserrat" w:cs="Montserrat"/>
          <w:b/>
          <w:caps/>
          <w:color w:val="FFFFFF"/>
          <w:sz w:val="22"/>
        </w:rPr>
        <w:t>Avaliação crítica</w:t>
      </w:r>
    </w:p>
    <w:p>
      <w:pPr>
        <w:spacing w:after="140" w:line="256" w:lineRule="exact"/>
      </w:pPr>
      <w:r>
        <w:rPr>
          <w:rFonts w:ascii="Montserrat" w:hAnsi="Montserrat" w:eastAsia="Montserrat" w:cs="Montserrat"/>
          <w:b w:val="0"/>
          <w:color w:val="30343B"/>
          <w:sz w:val="19"/>
        </w:rPr>
        <w:t>Pontos fortes: problema com frequência estimada e escopo em três grupos.</w:t>
        <w:br/>
        <w:t>Pontos fracos: meta de horas proposta, medida só no piloto com 8 analistas; regra de campos por tipo de pedido ainda não detalhada.</w:t>
        <w:br/>
        <w:t>Perguntas que a Tecnologia deve fazer: quais campos cada tipo de pedido exige (checklist, regras); quem homologa (checklist, responsáveis).</w:t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Fontes: FIC-01</w:t>
      </w:r>
    </w:p>
    <w:p>
      <w:pPr>
        <w:spacing w:before="0" w:after="16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pStyle w:val="Heading1"/>
        <w:spacing w:before="200" w:after="140" w:line="264" w:lineRule="exact"/>
        <w:shd w:fill="102661"/>
      </w:pPr>
      <w:r>
        <w:rPr>
          <w:caps/>
          <w:color w:val="FFFFFF"/>
        </w:rPr>
      </w:r>
      <w:r>
        <w:rPr>
          <w:rFonts w:ascii="Montserrat" w:hAnsi="Montserrat" w:eastAsia="Montserrat" w:cs="Montserrat"/>
          <w:b/>
          <w:caps/>
          <w:color w:val="FFFFFF"/>
          <w:sz w:val="22"/>
        </w:rPr>
        <w:t>Origem dos dados</w:t>
      </w:r>
    </w:p>
    <w:p>
      <w:pPr>
        <w:spacing w:after="140" w:line="256" w:lineRule="exact"/>
      </w:pPr>
      <w:r>
        <w:rPr>
          <w:rFonts w:ascii="Montserrat" w:hAnsi="Montserrat" w:eastAsia="Montserrat" w:cs="Montserrat"/>
          <w:b w:val="0"/>
          <w:color w:val="30343B"/>
          <w:sz w:val="19"/>
        </w:rPr>
        <w:t>Fonte de cada campo da CDT; todas são fictícias.</w:t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Fontes: FIC-01, FIC-02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Campo</w:t>
            </w:r>
          </w:p>
        </w:tc>
        <w:tc>
          <w:tcPr>
            <w:tcW w:type="dxa" w:w="2523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Fonte</w:t>
            </w:r>
          </w:p>
        </w:tc>
        <w:tc>
          <w:tcPr>
            <w:tcW w:type="dxa" w:w="2523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Natureza</w:t>
            </w:r>
          </w:p>
        </w:tc>
        <w:tc>
          <w:tcPr>
            <w:tcW w:type="dxa" w:w="2523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Limite</w:t>
            </w:r>
          </w:p>
        </w:tc>
      </w:tr>
      <w:tr>
        <w:tc>
          <w:tcPr>
            <w:tcW w:type="dxa" w:w="2523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Descrição: problema</w:t>
            </w:r>
          </w:p>
        </w:tc>
        <w:tc>
          <w:tcPr>
            <w:tcW w:type="dxa" w:w="2523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FIC-01: Briefing simulado</w:t>
            </w:r>
          </w:p>
        </w:tc>
        <w:tc>
          <w:tcPr>
            <w:tcW w:type="dxa" w:w="2523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estimativa</w:t>
            </w:r>
          </w:p>
        </w:tc>
        <w:tc>
          <w:tcPr>
            <w:tcW w:type="dxa" w:w="2523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exemplo</w:t>
            </w:r>
          </w:p>
        </w:tc>
      </w:tr>
      <w:tr>
        <w:tc>
          <w:tcPr>
            <w:tcW w:type="dxa" w:w="2523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Descrição: processo atual</w:t>
            </w:r>
          </w:p>
        </w:tc>
        <w:tc>
          <w:tcPr>
            <w:tcW w:type="dxa" w:w="2523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FIC-02: Relatório 4D simulado</w:t>
            </w:r>
          </w:p>
        </w:tc>
        <w:tc>
          <w:tcPr>
            <w:tcW w:type="dxa" w:w="2523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documentado</w:t>
            </w:r>
          </w:p>
        </w:tc>
        <w:tc>
          <w:tcPr>
            <w:tcW w:type="dxa" w:w="2523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exemplo</w:t>
            </w:r>
          </w:p>
        </w:tc>
      </w:tr>
      <w:tr>
        <w:tc>
          <w:tcPr>
            <w:tcW w:type="dxa" w:w="2523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Descrição: resultado e prioridade</w:t>
            </w:r>
          </w:p>
        </w:tc>
        <w:tc>
          <w:tcPr>
            <w:tcW w:type="dxa" w:w="2523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FIC-03: Relatório final simulado</w:t>
            </w:r>
          </w:p>
        </w:tc>
        <w:tc>
          <w:tcPr>
            <w:tcW w:type="dxa" w:w="2523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decidido</w:t>
            </w:r>
          </w:p>
        </w:tc>
        <w:tc>
          <w:tcPr>
            <w:tcW w:type="dxa" w:w="2523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prevalece sobre o 3E</w:t>
            </w:r>
          </w:p>
        </w:tc>
      </w:tr>
      <w:tr>
        <w:tc>
          <w:tcPr>
            <w:tcW w:type="dxa" w:w="2523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Justificativa</w:t>
            </w:r>
          </w:p>
        </w:tc>
        <w:tc>
          <w:tcPr>
            <w:tcW w:type="dxa" w:w="2523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FIC-01: Briefing simulado</w:t>
            </w:r>
          </w:p>
        </w:tc>
        <w:tc>
          <w:tcPr>
            <w:tcW w:type="dxa" w:w="2523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relatado</w:t>
            </w:r>
          </w:p>
        </w:tc>
        <w:tc>
          <w:tcPr>
            <w:tcW w:type="dxa" w:w="2523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exemplo</w:t>
            </w:r>
          </w:p>
        </w:tc>
      </w:tr>
      <w:tr>
        <w:tc>
          <w:tcPr>
            <w:tcW w:type="dxa" w:w="2523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Benefícios</w:t>
            </w:r>
          </w:p>
        </w:tc>
        <w:tc>
          <w:tcPr>
            <w:tcW w:type="dxa" w:w="2523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FIC-03: Relatório final simulado</w:t>
            </w:r>
          </w:p>
        </w:tc>
        <w:tc>
          <w:tcPr>
            <w:tcW w:type="dxa" w:w="2523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medido no piloto</w:t>
            </w:r>
          </w:p>
        </w:tc>
        <w:tc>
          <w:tcPr>
            <w:tcW w:type="dxa" w:w="2523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8 analistas</w:t>
            </w:r>
          </w:p>
        </w:tc>
      </w:tr>
    </w:tbl>
    <w:p>
      <w:pPr>
        <w:spacing w:before="0" w:after="14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spacing w:before="0" w:after="16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pStyle w:val="Heading1"/>
        <w:spacing w:before="0" w:after="0" w:line="312" w:lineRule="exact"/>
      </w:pPr>
      <w:r/>
      <w:r>
        <w:rPr>
          <w:rFonts w:ascii="Montserrat" w:hAnsi="Montserrat" w:eastAsia="Montserrat" w:cs="Montserrat"/>
          <w:b/>
          <w:color w:val="193C8E"/>
          <w:sz w:val="26"/>
        </w:rPr>
        <w:t>Fontes</w:t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FIC-01: briefing-simulado exemplo fictício, sem dados reais</w:t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FIC-02: relatorio-4d-simulado exemplo fictício, sem coleta real</w:t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FIC-03: relatorio-final-simulado exemplo fictício, sem decisão real</w:t>
      </w:r>
    </w:p>
    <w:sectPr w:rsidR="00FC693F" w:rsidRPr="0006063C" w:rsidSect="00034616">
      <w:pgSz w:w="11906" w:h="16838"/>
      <w:pgMar w:top="907" w:right="907" w:bottom="907" w:left="907" w:header="11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56" w:lineRule="exact"/>
    </w:pPr>
    <w:rPr>
      <w:rFonts w:ascii="Montserrat" w:hAnsi="Montserrat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ontserrat" w:hAnsi="Montserrat"/>
      <w:b/>
      <w:bCs/>
      <w:color w:val="193C8E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ontserrat" w:hAnsi="Montserrat"/>
      <w:b/>
      <w:bCs/>
      <w:color w:val="193C8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ontserrat" w:hAnsi="Montserrat"/>
      <w:b/>
      <w:color w:val="193C8E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EXEMPLO FICTÍCIO: Formulário guiado para pedidos de dados históricos</dc:title>
  <dc:subject/>
  <dc:creator>my_skills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