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AVALIAÇÃO DO POTENCIAL DE INOVAÇÃO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50"/>
        </w:rPr>
        <w:t>EXEMPLO FICTÍCIO: Retrabalho nas solicitações de dados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sample-innovation-potential-assessment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358"/>
        <w:gridCol w:w="1716"/>
        <w:gridCol w:w="2018"/>
      </w:tblGrid>
      <w:tr>
        <w:tc>
          <w:tcPr>
            <w:tcW w:type="dxa" w:w="3364"/>
            <w:shd w:fill="10266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FFFFFF"/>
                <w:sz w:val="18"/>
              </w:rPr>
              <w:t>PONTUAÇÃO ILUSTRATIVA, SEM AVALIAÇÃO REAL</w:t>
            </w:r>
          </w:p>
        </w:tc>
        <w:tc>
          <w:tcPr>
            <w:tcW w:type="dxa" w:w="3364"/>
            <w:shd w:fill="10266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FFFFFF"/>
                <w:sz w:val="18"/>
              </w:rPr>
              <w:t>Total: 54.8</w:t>
            </w:r>
          </w:p>
        </w:tc>
        <w:tc>
          <w:tcPr>
            <w:tcW w:type="dxa" w:w="3364"/>
            <w:shd w:fill="102661"/>
            <w:tcMar>
              <w:top w:w="100" w:type="dxa"/>
              <w:start w:w="120" w:type="dxa"/>
              <w:bottom w:w="100" w:type="dxa"/>
              <w:end w:w="120" w:type="dxa"/>
            </w:tcMar>
            <w:shd w:fill="E8EEFB"/>
          </w:tcPr>
          <w:p>
            <w:pPr>
              <w:spacing w:before="0" w:after="0" w:line="172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5"/>
              </w:rPr>
              <w:t>MONITORAR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17"/>
        <w:gridCol w:w="807"/>
        <w:gridCol w:w="1917"/>
        <w:gridCol w:w="1413"/>
        <w:gridCol w:w="4037"/>
      </w:tblGrid>
      <w:tr>
        <w:tc>
          <w:tcPr>
            <w:tcW w:type="dxa" w:w="1917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172" w:lineRule="exact"/>
            </w:pPr>
            <w:r/>
            <w:r>
              <w:rPr>
                <w:rFonts w:ascii="Montserrat" w:hAnsi="Montserrat" w:eastAsia="Montserrat" w:cs="Montserrat"/>
                <w:b/>
                <w:color w:val="586EA4"/>
                <w:sz w:val="15"/>
              </w:rPr>
              <w:t>Critério</w:t>
            </w:r>
          </w:p>
        </w:tc>
        <w:tc>
          <w:tcPr>
            <w:tcW w:type="dxa" w:w="807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172" w:lineRule="exact"/>
            </w:pPr>
            <w:r/>
            <w:r>
              <w:rPr>
                <w:rFonts w:ascii="Montserrat" w:hAnsi="Montserrat" w:eastAsia="Montserrat" w:cs="Montserrat"/>
                <w:b/>
                <w:color w:val="586EA4"/>
                <w:sz w:val="15"/>
              </w:rPr>
              <w:t>Peso</w:t>
            </w:r>
          </w:p>
        </w:tc>
        <w:tc>
          <w:tcPr>
            <w:tcW w:type="dxa" w:w="1917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172" w:lineRule="exact"/>
            </w:pPr>
            <w:r/>
            <w:r>
              <w:rPr>
                <w:rFonts w:ascii="Montserrat" w:hAnsi="Montserrat" w:eastAsia="Montserrat" w:cs="Montserrat"/>
                <w:b/>
                <w:color w:val="586EA4"/>
                <w:sz w:val="15"/>
              </w:rPr>
              <w:t>Nota (0 a 100)</w:t>
            </w:r>
          </w:p>
        </w:tc>
        <w:tc>
          <w:tcPr>
            <w:tcW w:type="dxa" w:w="1413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172" w:lineRule="exact"/>
            </w:pPr>
            <w:r/>
            <w:r>
              <w:rPr>
                <w:rFonts w:ascii="Montserrat" w:hAnsi="Montserrat" w:eastAsia="Montserrat" w:cs="Montserrat"/>
                <w:b/>
                <w:color w:val="586EA4"/>
                <w:sz w:val="15"/>
              </w:rPr>
              <w:t>Ponderado</w:t>
            </w:r>
          </w:p>
        </w:tc>
        <w:tc>
          <w:tcPr>
            <w:tcW w:type="dxa" w:w="4037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172" w:lineRule="exact"/>
            </w:pPr>
            <w:r/>
            <w:r>
              <w:rPr>
                <w:rFonts w:ascii="Montserrat" w:hAnsi="Montserrat" w:eastAsia="Montserrat" w:cs="Montserrat"/>
                <w:b/>
                <w:color w:val="586EA4"/>
                <w:sz w:val="15"/>
              </w:rPr>
              <w:t>Justificativa</w:t>
            </w:r>
          </w:p>
        </w:tc>
      </w:tr>
      <w:tr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Impacto</w:t>
            </w:r>
          </w:p>
        </w:tc>
        <w:tc>
          <w:tcPr>
            <w:tcW w:type="dxa" w:w="80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30%</w:t>
            </w:r>
          </w:p>
        </w:tc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/>
                <w:color w:val="4C73D1"/>
                <w:sz w:val="16"/>
              </w:rPr>
              <w:t>▰▰▰▰▰▰</w:t>
              <w:br/>
              <w:t>60</w:t>
            </w:r>
          </w:p>
        </w:tc>
        <w:tc>
          <w:tcPr>
            <w:tcW w:type="dxa" w:w="1413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18</w:t>
            </w:r>
          </w:p>
        </w:tc>
        <w:tc>
          <w:tcPr>
            <w:tcW w:type="dxa" w:w="403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Retrabalho relatado; magnitude ainda não medida (exemplo).</w:t>
            </w:r>
          </w:p>
        </w:tc>
      </w:tr>
      <w:tr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Viabilidade</w:t>
            </w:r>
          </w:p>
        </w:tc>
        <w:tc>
          <w:tcPr>
            <w:tcW w:type="dxa" w:w="80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25%</w:t>
            </w:r>
          </w:p>
        </w:tc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/>
                <w:color w:val="4C73D1"/>
                <w:sz w:val="16"/>
              </w:rPr>
              <w:t>▰▰▰▰</w:t>
              <w:br/>
              <w:t>45</w:t>
            </w:r>
          </w:p>
        </w:tc>
        <w:tc>
          <w:tcPr>
            <w:tcW w:type="dxa" w:w="1413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11.25</w:t>
            </w:r>
          </w:p>
        </w:tc>
        <w:tc>
          <w:tcPr>
            <w:tcW w:type="dxa" w:w="403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Integração, responsáveis e custo são hipóteses (exemplo).</w:t>
            </w:r>
          </w:p>
        </w:tc>
      </w:tr>
      <w:tr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Alinhamento</w:t>
            </w:r>
          </w:p>
        </w:tc>
        <w:tc>
          <w:tcPr>
            <w:tcW w:type="dxa" w:w="80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20%</w:t>
            </w:r>
          </w:p>
        </w:tc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/>
                <w:color w:val="4C73D1"/>
                <w:sz w:val="16"/>
              </w:rPr>
              <w:t>▰▰▰▰▰▰▰</w:t>
              <w:br/>
              <w:t>70</w:t>
            </w:r>
          </w:p>
        </w:tc>
        <w:tc>
          <w:tcPr>
            <w:tcW w:type="dxa" w:w="1413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14</w:t>
            </w:r>
          </w:p>
        </w:tc>
        <w:tc>
          <w:tcPr>
            <w:tcW w:type="dxa" w:w="403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Reduz esforço de atendimento (exemplo).</w:t>
            </w:r>
          </w:p>
        </w:tc>
      </w:tr>
      <w:tr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Urgência</w:t>
            </w:r>
          </w:p>
        </w:tc>
        <w:tc>
          <w:tcPr>
            <w:tcW w:type="dxa" w:w="80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15%</w:t>
            </w:r>
          </w:p>
        </w:tc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/>
                <w:color w:val="4C73D1"/>
                <w:sz w:val="16"/>
              </w:rPr>
              <w:t>▰▰▰▰</w:t>
              <w:br/>
              <w:t>40</w:t>
            </w:r>
          </w:p>
        </w:tc>
        <w:tc>
          <w:tcPr>
            <w:tcW w:type="dxa" w:w="1413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6</w:t>
            </w:r>
          </w:p>
        </w:tc>
        <w:tc>
          <w:tcPr>
            <w:tcW w:type="dxa" w:w="403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Prioridade moderada, não comprovada (exemplo).</w:t>
            </w:r>
          </w:p>
        </w:tc>
      </w:tr>
      <w:tr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Novidade</w:t>
            </w:r>
          </w:p>
        </w:tc>
        <w:tc>
          <w:tcPr>
            <w:tcW w:type="dxa" w:w="80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10%</w:t>
            </w:r>
          </w:p>
        </w:tc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/>
                <w:color w:val="4C73D1"/>
                <w:sz w:val="16"/>
              </w:rPr>
              <w:t>▰▰▰▰▰▰</w:t>
              <w:br/>
              <w:t>55</w:t>
            </w:r>
          </w:p>
        </w:tc>
        <w:tc>
          <w:tcPr>
            <w:tcW w:type="dxa" w:w="1413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5.5</w:t>
            </w:r>
          </w:p>
        </w:tc>
        <w:tc>
          <w:tcPr>
            <w:tcW w:type="dxa" w:w="403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Novidade relativa não comparada (exemplo).</w:t>
            </w:r>
          </w:p>
        </w:tc>
      </w:tr>
      <w:tr>
        <w:tc>
          <w:tcPr>
            <w:tcW w:type="dxa" w:w="1917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Total ponderado</w:t>
            </w:r>
          </w:p>
        </w:tc>
        <w:tc>
          <w:tcPr>
            <w:tcW w:type="dxa" w:w="807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/>
        </w:tc>
        <w:tc>
          <w:tcPr>
            <w:tcW w:type="dxa" w:w="1917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/>
        </w:tc>
        <w:tc>
          <w:tcPr>
            <w:tcW w:type="dxa" w:w="1413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54.8</w:t>
            </w:r>
          </w:p>
        </w:tc>
        <w:tc>
          <w:tcPr>
            <w:tcW w:type="dxa" w:w="4037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/>
                <w:color w:val="4C73D1"/>
                <w:sz w:val="16"/>
              </w:rPr>
              <w:t>MONITORAR</w:t>
            </w:r>
          </w:p>
        </w:tc>
      </w:tr>
    </w:tbl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FIC-02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6"/>
        <w:gridCol w:w="160"/>
        <w:gridCol w:w="4966"/>
      </w:tblGrid>
      <w:tr>
        <w:tc>
          <w:tcPr>
            <w:tcW w:type="dxa" w:w="3364"/>
            <w:tcMar>
              <w:top w:w="100" w:type="dxa"/>
              <w:start w:w="140" w:type="dxa"/>
              <w:bottom w:w="100" w:type="dxa"/>
              <w:end w:w="140" w:type="dxa"/>
            </w:tcMar>
            <w:shd w:fill="F3F5FA"/>
          </w:tcPr>
          <w:p>
            <w:pPr>
              <w:spacing w:before="0" w:after="0" w:line="216" w:lineRule="exact"/>
              <w:shd w:fill="102661"/>
            </w:pPr>
            <w:r>
              <w:rPr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olor w:val="FFFFFF"/>
                <w:sz w:val="18"/>
              </w:rPr>
              <w:t>IMPACTO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No cenário simulado, solicitações de dados exigem retrabalho. A magnitude real ainda teria de ser medida; a pontuação de exemplo serve apenas para testar o layout.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3364"/>
          </w:tcPr>
          <w:p/>
        </w:tc>
        <w:tc>
          <w:tcPr>
            <w:tcW w:type="dxa" w:w="3364"/>
            <w:tcMar>
              <w:top w:w="100" w:type="dxa"/>
              <w:start w:w="140" w:type="dxa"/>
              <w:bottom w:w="100" w:type="dxa"/>
              <w:end w:w="140" w:type="dxa"/>
            </w:tcMar>
            <w:shd w:fill="F3F5FA"/>
          </w:tcPr>
          <w:p>
            <w:pPr>
              <w:spacing w:before="0" w:after="0" w:line="216" w:lineRule="exact"/>
              <w:shd w:fill="102661"/>
            </w:pPr>
            <w:r>
              <w:rPr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olor w:val="FFFFFF"/>
                <w:sz w:val="18"/>
              </w:rPr>
              <w:t>VIABILIDADE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Uma triagem guiada parece tecnicamente possível, mas integração, responsáveis e custo permanecem hipóteses.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6"/>
        <w:gridCol w:w="160"/>
        <w:gridCol w:w="4966"/>
      </w:tblGrid>
      <w:tr>
        <w:tc>
          <w:tcPr>
            <w:tcW w:type="dxa" w:w="3364"/>
            <w:tcMar>
              <w:top w:w="100" w:type="dxa"/>
              <w:start w:w="140" w:type="dxa"/>
              <w:bottom w:w="100" w:type="dxa"/>
              <w:end w:w="140" w:type="dxa"/>
            </w:tcMar>
            <w:shd w:fill="F3F5FA"/>
          </w:tcPr>
          <w:p>
            <w:pPr>
              <w:spacing w:before="0" w:after="0" w:line="216" w:lineRule="exact"/>
              <w:shd w:fill="102661"/>
            </w:pPr>
            <w:r>
              <w:rPr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olor w:val="FFFFFF"/>
                <w:sz w:val="18"/>
              </w:rPr>
              <w:t>ALINHAMENTO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 proposta ilustrativa busca reduzir esforço de atendimento e dar previsibilidade à jornada.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3364"/>
          </w:tcPr>
          <w:p/>
        </w:tc>
        <w:tc>
          <w:tcPr>
            <w:tcW w:type="dxa" w:w="3364"/>
            <w:tcMar>
              <w:top w:w="100" w:type="dxa"/>
              <w:start w:w="140" w:type="dxa"/>
              <w:bottom w:w="100" w:type="dxa"/>
              <w:end w:w="140" w:type="dxa"/>
            </w:tcMar>
            <w:shd w:fill="F3F5FA"/>
          </w:tcPr>
          <w:p>
            <w:pPr>
              <w:spacing w:before="0" w:after="0" w:line="216" w:lineRule="exact"/>
              <w:shd w:fill="102661"/>
            </w:pPr>
            <w:r>
              <w:rPr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olor w:val="FFFFFF"/>
                <w:sz w:val="18"/>
              </w:rPr>
              <w:t>URGÊNCIA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 exemplo considera prioridade moderada, sem transformar preferência de participantes em urgência institucional comprovada.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100" w:type="dxa"/>
              <w:start w:w="140" w:type="dxa"/>
              <w:bottom w:w="100" w:type="dxa"/>
              <w:end w:w="140" w:type="dxa"/>
            </w:tcMar>
            <w:shd w:fill="F3F5FA"/>
          </w:tcPr>
          <w:p>
            <w:pPr>
              <w:spacing w:before="0" w:after="0" w:line="216" w:lineRule="exact"/>
              <w:shd w:fill="102661"/>
            </w:pPr>
            <w:r>
              <w:rPr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olor w:val="FFFFFF"/>
                <w:sz w:val="18"/>
              </w:rPr>
              <w:t>NOVIDADE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 ideia combina orientações e acompanhamento em uma jornada única; a novidade relativa dependeria de comparação com soluções existentes.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100" w:type="dxa"/>
              <w:start w:w="140" w:type="dxa"/>
              <w:bottom w:w="100" w:type="dxa"/>
              <w:end w:w="140" w:type="dxa"/>
            </w:tcMar>
            <w:shd w:fill="102661"/>
            <w:tcBorders>
              <w:start w:val="single" w:sz="24" w:color="4C73D1"/>
            </w:tcBorders>
          </w:tcPr>
          <w:p>
            <w:pPr>
              <w:spacing w:before="0" w:after="0" w:line="172" w:lineRule="exact"/>
            </w:pPr>
            <w:r/>
            <w:r>
              <w:rPr>
                <w:rFonts w:ascii="Montserrat" w:hAnsi="Montserrat" w:eastAsia="Montserrat" w:cs="Montserrat"/>
                <w:b/>
                <w:color w:val="E8EEFB"/>
                <w:sz w:val="15"/>
              </w:rPr>
              <w:t>RECOMENDAÇÃO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FFFFFF"/>
                <w:sz w:val="19"/>
              </w:rPr>
              <w:t>Investigar volumes e causas antes de comprometer construção. Nenhuma decisão real foi tomada neste exemplo.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Retrabalho nas solicitações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