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FICTÍCIO: Solicitações com informações incompletas</w:t>
      </w:r>
    </w:p>
    <w:p>
      <w:r>
        <w:rPr>
          <w:color w:val="586EA4"/>
          <w:sz w:val="15"/>
        </w:rPr>
        <w:t>ID sample-four-d-report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Desafio e escopo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Cenário demonstrativo: solicitações com informações incompletas, devoluções e pouca visibilidade de status. Todos os registros desta amostra são fictícios.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Desafio: Compreender onde a jornada perde clareza.</w:t>
            </w:r>
          </w:p>
        </w:tc>
        <w:tc>
          <w:tcPr>
            <w:tcW w:type="dxa" w:w="5159"/>
            <w:shd w:fill="F3F5FA"/>
          </w:tcPr>
          <w:p>
            <w:r>
              <w:t>Escopo: Workshop simulado; sem operação real.</w:t>
            </w:r>
          </w:p>
        </w:tc>
        <w:tc>
          <w:tcPr>
            <w:tcW w:type="dxa" w:w="5159"/>
            <w:shd w:fill="FBECEB"/>
          </w:tcPr>
          <w:p>
            <w:r>
              <w:t>Limite: Sem linha de base ou resultado de teste.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D1 e D2: Percepções e diagnóstico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3869"/>
            <w:shd w:fill="E8EEFB"/>
          </w:tcPr>
          <w:p>
            <w:r>
              <w:t>Percepção: Há incerteza sobre o andamento das solicitações.</w:t>
            </w:r>
          </w:p>
        </w:tc>
        <w:tc>
          <w:tcPr>
            <w:tcW w:type="dxa" w:w="3869"/>
            <w:shd w:fill="FFF4D9"/>
          </w:tcPr>
          <w:p>
            <w:r>
              <w:t>Causas: Participantes divergiram sobre a causa dominante.</w:t>
            </w:r>
          </w:p>
        </w:tc>
        <w:tc>
          <w:tcPr>
            <w:tcW w:type="dxa" w:w="3869"/>
            <w:shd w:fill="F3F5FA"/>
          </w:tcPr>
          <w:p>
            <w:r>
              <w:t>Evidência: Relatos do exercício simulado.</w:t>
            </w:r>
          </w:p>
        </w:tc>
        <w:tc>
          <w:tcPr>
            <w:tcW w:type="dxa" w:w="3869"/>
            <w:shd w:fill="FBECEB"/>
          </w:tcPr>
          <w:p>
            <w:r>
              <w:t>Lacuna: Não há frequência medida no processo real.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E8EEFB"/>
          </w:tcPr>
          <w:p>
            <w:r>
              <w:t>Entrada: Quais campos chegam incompletos e por quê?</w:t>
            </w:r>
          </w:p>
        </w:tc>
        <w:tc>
          <w:tcPr>
            <w:tcW w:type="dxa" w:w="7739"/>
            <w:shd w:fill="E8EEFB"/>
          </w:tcPr>
          <w:p>
            <w:r>
              <w:t>Acompanhamento: Que informação de status falta ao solicitante?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Jornada do processo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Antes: Orientação prévia e preparo da solicitação.</w:t>
            </w:r>
          </w:p>
        </w:tc>
        <w:tc>
          <w:tcPr>
            <w:tcW w:type="dxa" w:w="5159"/>
            <w:shd w:fill="F3F5FA"/>
          </w:tcPr>
          <w:p>
            <w:r>
              <w:t>Durante: Preenchimento, conferência e possível devolução.</w:t>
            </w:r>
          </w:p>
        </w:tc>
        <w:tc>
          <w:tcPr>
            <w:tcW w:type="dxa" w:w="5159"/>
            <w:shd w:fill="E8F4EE"/>
          </w:tcPr>
          <w:p>
            <w:r>
              <w:t>Depois: Acompanhamento do status e conclusão.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shd w:fill="FBECEB"/>
          </w:tcPr>
          <w:p>
            <w:r>
              <w:t>Entrada incompleta: Campos ausentes geram retrabalho na narrativa simulada.</w:t>
            </w:r>
          </w:p>
        </w:tc>
        <w:tc>
          <w:tcPr>
            <w:tcW w:type="dxa" w:w="7739"/>
            <w:shd w:fill="FFF4D9"/>
          </w:tcPr>
          <w:p>
            <w:r>
              <w:t>Status pouco visível: A pessoa não sabe em que etapa a solicitação está.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Alternativas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Orientação prévia: Pode esclarecer requisitos antes do pedido.</w:t>
            </w:r>
          </w:p>
        </w:tc>
        <w:tc>
          <w:tcPr>
            <w:tcW w:type="dxa" w:w="5159"/>
            <w:shd w:fill="FFF4D9"/>
          </w:tcPr>
          <w:p>
            <w:r>
              <w:t>Formulário guiado: Pode ajudar a preencher campos críticos.</w:t>
            </w:r>
          </w:p>
        </w:tc>
        <w:tc>
          <w:tcPr>
            <w:tcW w:type="dxa" w:w="5159"/>
            <w:shd w:fill="E8F4EE"/>
          </w:tcPr>
          <w:p>
            <w:r>
              <w:t>Painel de status: Pode dar visibilidade ao andamento.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Incremental: Melhorar orientação existente.</w:t>
            </w:r>
          </w:p>
        </w:tc>
        <w:tc>
          <w:tcPr>
            <w:tcW w:type="dxa" w:w="5159"/>
            <w:shd w:fill="FFF4D9"/>
          </w:tcPr>
          <w:p>
            <w:r>
              <w:t>Fluxo: Apoiar o preenchimento.</w:t>
            </w:r>
          </w:p>
        </w:tc>
        <w:tc>
          <w:tcPr>
            <w:tcW w:type="dxa" w:w="5159"/>
            <w:shd w:fill="E8F4EE"/>
          </w:tcPr>
          <w:p>
            <w:r>
              <w:t>Visibilidade: Expor etapas e pendências.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Priorização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Selecionada: Investigar formulário guiado.</w:t>
            </w:r>
          </w:p>
        </w:tc>
        <w:tc>
          <w:tcPr>
            <w:tcW w:type="dxa" w:w="5159"/>
            <w:shd w:fill="F3F5FA"/>
          </w:tcPr>
          <w:p>
            <w:r>
              <w:t>Critério conhecido: Preferência do grupo no exercício.</w:t>
            </w:r>
          </w:p>
        </w:tc>
        <w:tc>
          <w:tcPr>
            <w:tcW w:type="dxa" w:w="5159"/>
            <w:shd w:fill="FBECEB"/>
          </w:tcPr>
          <w:p>
            <w:r>
              <w:t>Não demonstrado: Adoção, eficácia e impacto não foram testados.</w:t>
            </w:r>
          </w:p>
        </w:tc>
      </w:tr>
    </w:tbl>
    <w:p>
      <w:r>
        <w:t>Fontes: FIC-01</w:t>
      </w:r>
    </w:p>
    <w:p>
      <w:r>
        <w:t>O que a priorização permite concluir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Dimensão</w:t>
            </w:r>
          </w:p>
        </w:tc>
        <w:tc>
          <w:tcPr>
            <w:tcW w:type="dxa" w:w="5159"/>
          </w:tcPr>
          <w:p>
            <w:r>
              <w:t>Registro</w:t>
            </w:r>
          </w:p>
        </w:tc>
        <w:tc>
          <w:tcPr>
            <w:tcW w:type="dxa" w:w="5159"/>
          </w:tcPr>
          <w:p>
            <w:r>
              <w:t>Limite</w:t>
            </w:r>
          </w:p>
        </w:tc>
      </w:tr>
      <w:tr>
        <w:tc>
          <w:tcPr>
            <w:tcW w:type="dxa" w:w="5159"/>
          </w:tcPr>
          <w:p>
            <w:r>
              <w:t>Escolha</w:t>
            </w:r>
          </w:p>
        </w:tc>
        <w:tc>
          <w:tcPr>
            <w:tcW w:type="dxa" w:w="5159"/>
          </w:tcPr>
          <w:p>
            <w:r>
              <w:t>Formulário guiado para investigação</w:t>
            </w:r>
          </w:p>
        </w:tc>
        <w:tc>
          <w:tcPr>
            <w:tcW w:type="dxa" w:w="5159"/>
          </w:tcPr>
          <w:p>
            <w:r>
              <w:t>Não equivale a solução aprovada</w:t>
            </w:r>
          </w:p>
        </w:tc>
      </w:tr>
      <w:tr>
        <w:tc>
          <w:tcPr>
            <w:tcW w:type="dxa" w:w="5159"/>
          </w:tcPr>
          <w:p>
            <w:r>
              <w:t>Base</w:t>
            </w:r>
          </w:p>
        </w:tc>
        <w:tc>
          <w:tcPr>
            <w:tcW w:type="dxa" w:w="5159"/>
          </w:tcPr>
          <w:p>
            <w:r>
              <w:t>Discussão e voto simulados</w:t>
            </w:r>
          </w:p>
        </w:tc>
        <w:tc>
          <w:tcPr>
            <w:tcW w:type="dxa" w:w="5159"/>
          </w:tcPr>
          <w:p>
            <w:r>
              <w:t>Sem denominador real</w:t>
            </w:r>
          </w:p>
        </w:tc>
      </w:tr>
      <w:tr>
        <w:tc>
          <w:tcPr>
            <w:tcW w:type="dxa" w:w="5159"/>
          </w:tcPr>
          <w:p>
            <w:r>
              <w:t>Próximo teste</w:t>
            </w:r>
          </w:p>
        </w:tc>
        <w:tc>
          <w:tcPr>
            <w:tcW w:type="dxa" w:w="5159"/>
          </w:tcPr>
          <w:p>
            <w:r>
              <w:t>Definir hipótese, métrica e critério</w:t>
            </w:r>
          </w:p>
        </w:tc>
        <w:tc>
          <w:tcPr>
            <w:tcW w:type="dxa" w:w="5159"/>
          </w:tcPr>
          <w:p>
            <w:r>
              <w:t>Ainda não executado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Conclusão e próximos passos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Recomendação metodológica: medir volumes e causas reais antes de assumir eficácia ou iniciar construção. Nenhuma decisão real foi tomada nesta amostra.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shd w:fill="E8EEFB"/>
          </w:tcPr>
          <w:p>
            <w:r>
              <w:t>Medir: Levantar frequência de devoluções e campos faltantes.</w:t>
            </w:r>
          </w:p>
        </w:tc>
        <w:tc>
          <w:tcPr>
            <w:tcW w:type="dxa" w:w="5159"/>
            <w:shd w:fill="E8EEFB"/>
          </w:tcPr>
          <w:p>
            <w:r>
              <w:t>Testar: Desenhar experimento do formulário guiado com KPI prévio.</w:t>
            </w:r>
          </w:p>
        </w:tc>
        <w:tc>
          <w:tcPr>
            <w:tcW w:type="dxa" w:w="5159"/>
            <w:shd w:fill="E8F4EE"/>
          </w:tcPr>
          <w:p>
            <w:r>
              <w:t>Decidir: Revisar a prioridade após evidência observada.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RELATÓRIO 4D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Solicitações com informações incompletas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