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2" w:val="right"/>
        </w:tabs>
        <w:spacing w:line="560" w:lineRule="exact"/>
        <w:pBdr>
          <w:bottom w:val="single" w:sz="12" w:color="193C8E"/>
        </w:pBdr>
      </w:pPr>
      <w:r>
        <w:rPr>
          <w:rFonts w:ascii="Montserrat" w:hAnsi="Montserrat" w:eastAsia="Montserrat" w:cs="Montserrat"/>
          <w:b/>
          <w:color w:val="4C73D1"/>
          <w:sz w:val="16"/>
        </w:rPr>
        <w:t>PLANO DE EXPERIMENTAÇÃO</w:t>
      </w:r>
      <w:r>
        <w:tab/>
        <w:drawing>
          <wp:inline xmlns:a="http://schemas.openxmlformats.org/drawingml/2006/main" xmlns:pic="http://schemas.openxmlformats.org/drawingml/2006/picture">
            <wp:extent cx="1080000" cy="4048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c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404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160" w:after="120"/>
      </w:pPr>
      <w:r>
        <w:rPr>
          <w:rFonts w:ascii="Montserrat" w:hAnsi="Montserrat" w:eastAsia="Montserrat" w:cs="Montserrat"/>
          <w:b/>
          <w:color w:val="193C8E"/>
          <w:sz w:val="50"/>
        </w:rPr>
        <w:t>EXEMPLO FICTÍCIO: Entrada guiada para solicitações completas</w:t>
      </w:r>
    </w:p>
    <w:p>
      <w:pPr>
        <w:spacing w:before="0" w:after="100" w:line="165" w:lineRule="exact"/>
      </w:pPr>
      <w:r/>
      <w:r>
        <w:rPr>
          <w:rFonts w:ascii="Montserrat" w:hAnsi="Montserrat" w:eastAsia="Montserrat" w:cs="Montserrat"/>
          <w:b w:val="0"/>
          <w:color w:val="586EA4"/>
          <w:sz w:val="15"/>
        </w:rPr>
        <w:t>ID sample-experiment-plan · versão 1.0.0 · Completo</w:t>
      </w:r>
    </w:p>
    <w:p>
      <w:pPr>
        <w:spacing w:before="0" w:after="0" w:line="283" w:lineRule="exact"/>
      </w:pPr>
      <w:r/>
      <w:r>
        <w:rPr>
          <w:rFonts w:ascii="Montserrat" w:hAnsi="Montserrat" w:eastAsia="Montserrat" w:cs="Montserrat"/>
          <w:b w:val="0"/>
          <w:color w:val="102661"/>
          <w:sz w:val="21"/>
        </w:rPr>
        <w:t>Amostra de validação visual e estrutural. Dados, pessoas, votos e resultados são fictícios.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200"/>
        <w:gridCol w:w="4946"/>
      </w:tblGrid>
      <w:tr>
        <w:tc>
          <w:tcPr>
            <w:tcW w:type="dxa" w:w="336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140" w:line="264" w:lineRule="exact"/>
              <w:shd w:fill="102661"/>
            </w:pPr>
            <w:r>
              <w:rPr>
                <w:caps/>
                <w:color w:val="FFFFFF"/>
              </w:rPr>
            </w:r>
            <w:r>
              <w:rPr>
                <w:rFonts w:ascii="Montserrat" w:hAnsi="Montserrat" w:eastAsia="Montserrat" w:cs="Montserrat"/>
                <w:b/>
                <w:caps/>
                <w:color w:val="FFFFFF"/>
                <w:sz w:val="22"/>
              </w:rPr>
              <w:t>Hipótese</w:t>
            </w:r>
          </w:p>
          <w:p>
            <w:pPr>
              <w:spacing w:after="140" w:line="256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Hipótese simulada: a entrada guiada melhora a completude das solicitações sem elevar o tempo de preenchimento.</w:t>
            </w:r>
          </w:p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Fontes: FIC-01</w:t>
            </w:r>
          </w:p>
        </w:tc>
        <w:tc>
          <w:tcPr>
            <w:tcW w:type="dxa" w:w="3364"/>
          </w:tcPr>
          <w:p/>
        </w:tc>
        <w:tc>
          <w:tcPr>
            <w:tcW w:type="dxa" w:w="336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140" w:line="264" w:lineRule="exact"/>
              <w:shd w:fill="102661"/>
            </w:pPr>
            <w:r>
              <w:rPr>
                <w:caps/>
                <w:color w:val="FFFFFF"/>
              </w:rPr>
            </w:r>
            <w:r>
              <w:rPr>
                <w:rFonts w:ascii="Montserrat" w:hAnsi="Montserrat" w:eastAsia="Montserrat" w:cs="Montserrat"/>
                <w:b/>
                <w:caps/>
                <w:color w:val="FFFFFF"/>
                <w:sz w:val="22"/>
              </w:rPr>
              <w:t>Método</w:t>
            </w:r>
          </w:p>
          <w:p>
            <w:pPr>
              <w:spacing w:after="140" w:line="256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Teste moderado de tarefa para compreensão, seguido de piloto controlado para observar completude e tempo. Nenhuma coleta ocorreu neste exemplo.</w:t>
            </w:r>
          </w:p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Fontes: FIC-01</w:t>
            </w:r>
          </w:p>
        </w:tc>
      </w:tr>
    </w:tbl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200"/>
        <w:gridCol w:w="4946"/>
      </w:tblGrid>
      <w:tr>
        <w:tc>
          <w:tcPr>
            <w:tcW w:type="dxa" w:w="336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140" w:line="264" w:lineRule="exact"/>
              <w:shd w:fill="102661"/>
            </w:pPr>
            <w:r>
              <w:rPr>
                <w:caps/>
                <w:color w:val="FFFFFF"/>
              </w:rPr>
            </w:r>
            <w:r>
              <w:rPr>
                <w:rFonts w:ascii="Montserrat" w:hAnsi="Montserrat" w:eastAsia="Montserrat" w:cs="Montserrat"/>
                <w:b/>
                <w:caps/>
                <w:color w:val="FFFFFF"/>
                <w:sz w:val="22"/>
              </w:rPr>
              <w:t>Público e elegibilidade</w:t>
            </w:r>
          </w:p>
          <w:p>
            <w:pPr>
              <w:spacing w:after="140" w:line="256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Amostra ilustrativa de perfis diferentes; critérios de elegibilidade e exclusão devem ser definidos antes do recrutamento real.</w:t>
            </w:r>
          </w:p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Fontes: FIC-01</w:t>
            </w:r>
          </w:p>
        </w:tc>
        <w:tc>
          <w:tcPr>
            <w:tcW w:type="dxa" w:w="3364"/>
          </w:tcPr>
          <w:p/>
        </w:tc>
        <w:tc>
          <w:tcPr>
            <w:tcW w:type="dxa" w:w="336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140" w:line="264" w:lineRule="exact"/>
              <w:shd w:fill="102661"/>
            </w:pPr>
            <w:r>
              <w:rPr>
                <w:caps/>
                <w:color w:val="FFFFFF"/>
              </w:rPr>
            </w:r>
            <w:r>
              <w:rPr>
                <w:rFonts w:ascii="Montserrat" w:hAnsi="Montserrat" w:eastAsia="Montserrat" w:cs="Montserrat"/>
                <w:b/>
                <w:caps/>
                <w:color w:val="FFFFFF"/>
                <w:sz w:val="22"/>
              </w:rPr>
              <w:t>Medidas</w:t>
            </w:r>
          </w:p>
          <w:p>
            <w:pPr>
              <w:spacing w:after="140" w:line="256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Completude por solicitação elegível; tempo em minutos; necessidade de ajuda por tarefa. Fontes, fórmulas e janelas seriam registradas no protocolo.</w:t>
            </w:r>
          </w:p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Fontes: FIC-01</w:t>
            </w:r>
          </w:p>
        </w:tc>
      </w:tr>
    </w:tbl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6"/>
        <w:gridCol w:w="200"/>
        <w:gridCol w:w="4946"/>
      </w:tblGrid>
      <w:tr>
        <w:tc>
          <w:tcPr>
            <w:tcW w:type="dxa" w:w="336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140" w:line="264" w:lineRule="exact"/>
              <w:shd w:fill="102661"/>
            </w:pPr>
            <w:r>
              <w:rPr>
                <w:caps/>
                <w:color w:val="FFFFFF"/>
              </w:rPr>
            </w:r>
            <w:r>
              <w:rPr>
                <w:rFonts w:ascii="Montserrat" w:hAnsi="Montserrat" w:eastAsia="Montserrat" w:cs="Montserrat"/>
                <w:b/>
                <w:caps/>
                <w:color w:val="FFFFFF"/>
                <w:sz w:val="22"/>
              </w:rPr>
              <w:t>Protocolo</w:t>
            </w:r>
          </w:p>
          <w:p>
            <w:pPr>
              <w:spacing w:after="140" w:line="256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Apresentar cenário neutro, registrar ação e ajuda, verificar dados gerados e preservar desvios. Critérios de leitura seriam fechados antes da execução.</w:t>
            </w:r>
          </w:p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Fontes: FIC-01</w:t>
            </w:r>
          </w:p>
        </w:tc>
        <w:tc>
          <w:tcPr>
            <w:tcW w:type="dxa" w:w="3364"/>
          </w:tcPr>
          <w:p/>
        </w:tc>
        <w:tc>
          <w:tcPr>
            <w:tcW w:type="dxa" w:w="3364"/>
            <w:tcMar>
              <w:top w:w="0" w:type="dxa"/>
              <w:start w:w="0" w:type="dxa"/>
              <w:bottom w:w="0" w:type="dxa"/>
              <w:end w:w="0" w:type="dxa"/>
            </w:tcMar>
            <w:vAlign w:val="top"/>
          </w:tcPr>
          <w:p>
            <w:pPr>
              <w:spacing w:before="0" w:after="140" w:line="264" w:lineRule="exact"/>
              <w:shd w:fill="102661"/>
            </w:pPr>
            <w:r>
              <w:rPr>
                <w:caps/>
                <w:color w:val="FFFFFF"/>
              </w:rPr>
            </w:r>
            <w:r>
              <w:rPr>
                <w:rFonts w:ascii="Montserrat" w:hAnsi="Montserrat" w:eastAsia="Montserrat" w:cs="Montserrat"/>
                <w:b/>
                <w:caps/>
                <w:color w:val="FFFFFF"/>
                <w:sz w:val="22"/>
              </w:rPr>
              <w:t>Guardrails</w:t>
            </w:r>
          </w:p>
          <w:p>
            <w:pPr>
              <w:spacing w:after="140" w:line="256" w:lineRule="exact"/>
            </w:pPr>
            <w:r>
              <w:rPr>
                <w:rFonts w:ascii="Montserrat" w:hAnsi="Montserrat" w:eastAsia="Montserrat" w:cs="Montserrat"/>
                <w:b w:val="0"/>
                <w:color w:val="30343B"/>
                <w:sz w:val="19"/>
              </w:rPr>
              <w:t>Interromper exposição diante de erro que possa afetar operação ou dados; usar ambiente controlado no piloto.</w:t>
            </w:r>
          </w:p>
          <w:p>
            <w:pPr>
              <w:spacing w:before="0" w:after="0" w:line="208" w:lineRule="exact"/>
            </w:pPr>
            <w:r/>
            <w:r>
              <w:rPr>
                <w:rFonts w:ascii="Montserrat" w:hAnsi="Montserrat" w:eastAsia="Montserrat" w:cs="Montserrat"/>
                <w:b w:val="0"/>
                <w:color w:val="30343B"/>
                <w:sz w:val="16"/>
              </w:rPr>
              <w:t>Fontes: FIC-01</w:t>
            </w:r>
          </w:p>
        </w:tc>
      </w:tr>
    </w:tbl>
    <w:p>
      <w:pPr>
        <w:spacing w:before="0" w:after="160" w:line="256" w:lineRule="exact"/>
      </w:pPr>
      <w:r/>
      <w:r>
        <w:rPr>
          <w:rFonts w:ascii="Montserrat" w:hAnsi="Montserrat" w:eastAsia="Montserrat" w:cs="Montserrat"/>
          <w:b w:val="0"/>
          <w:color w:val="30343B"/>
          <w:sz w:val="19"/>
        </w:rPr>
      </w:r>
    </w:p>
    <w:p>
      <w:pPr>
        <w:pStyle w:val="Heading1"/>
        <w:spacing w:before="0" w:after="0" w:line="312" w:lineRule="exact"/>
      </w:pPr>
      <w:r/>
      <w:r>
        <w:rPr>
          <w:rFonts w:ascii="Montserrat" w:hAnsi="Montserrat" w:eastAsia="Montserrat" w:cs="Montserrat"/>
          <w:b/>
          <w:color w:val="193C8E"/>
          <w:sz w:val="26"/>
        </w:rPr>
        <w:t>Fontes</w:t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FIC-01: ata-simulada-5c exemplo fictício, sem coleta real</w:t>
      </w:r>
    </w:p>
    <w:p>
      <w:pPr>
        <w:spacing w:before="0" w:after="0" w:line="208" w:lineRule="exact"/>
      </w:pPr>
      <w:r/>
      <w:r>
        <w:rPr>
          <w:rFonts w:ascii="Montserrat" w:hAnsi="Montserrat" w:eastAsia="Montserrat" w:cs="Montserrat"/>
          <w:b w:val="0"/>
          <w:color w:val="30343B"/>
          <w:sz w:val="16"/>
        </w:rPr>
        <w:t>FIC-02: planilha-simulada exemplo fictício, sem dados reais</w:t>
      </w:r>
    </w:p>
    <w:sectPr w:rsidR="00FC693F" w:rsidRPr="0006063C" w:rsidSect="00034616">
      <w:pgSz w:w="11906" w:h="16838"/>
      <w:pgMar w:top="907" w:right="907" w:bottom="907" w:left="907" w:header="11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6" w:lineRule="exact"/>
    </w:pPr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b/>
      <w:color w:val="193C8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FICTÍCIO: Entrada guiada para solicitações completas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