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tabs>
          <w:tab w:pos="15478" w:val="right"/>
        </w:tabs>
        <w:spacing w:line="560" w:lineRule="exact"/>
        <w:pBdr>
          <w:bottom w:val="single" w:sz="12" w:color="193C8E"/>
        </w:pBdr>
      </w:pPr>
      <w:r>
        <w:rPr>
          <w:rFonts w:ascii="Montserrat" w:hAnsi="Montserrat" w:eastAsia="Montserrat" w:cs="Montserrat"/>
          <w:b/>
          <w:color w:val="4C73D1"/>
          <w:sz w:val="16"/>
        </w:rPr>
        <w:t>AVALIAÇÃO DAS EVIDÊNCIAS DE INOVAÇÃO</w:t>
      </w:r>
      <w:r>
        <w:tab/>
        <w:drawing>
          <wp:inline xmlns:a="http://schemas.openxmlformats.org/drawingml/2006/main" xmlns:pic="http://schemas.openxmlformats.org/drawingml/2006/picture">
            <wp:extent cx="1080000" cy="4048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cce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4048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  <w:spacing w:before="160" w:after="120"/>
      </w:pPr>
      <w:r>
        <w:rPr>
          <w:rFonts w:ascii="Montserrat" w:hAnsi="Montserrat" w:eastAsia="Montserrat" w:cs="Montserrat"/>
          <w:b/>
          <w:color w:val="193C8E"/>
          <w:sz w:val="48"/>
        </w:rPr>
        <w:t>EXEMPLO FICTÍCIO. Portal de solicitações: maturidade das evidências</w:t>
      </w:r>
    </w:p>
    <w:p>
      <w:pPr>
        <w:spacing w:before="0" w:after="100" w:line="165" w:lineRule="exact"/>
      </w:pPr>
      <w:r/>
      <w:r>
        <w:rPr>
          <w:rFonts w:ascii="Montserrat" w:hAnsi="Montserrat" w:eastAsia="Montserrat" w:cs="Montserrat"/>
          <w:b w:val="0"/>
          <w:color w:val="586EA4"/>
          <w:sz w:val="15"/>
        </w:rPr>
        <w:t>ID sample-innovation-scorecard · versão 1.0.0 · Completo</w:t>
      </w:r>
    </w:p>
    <w:p>
      <w:pPr>
        <w:spacing w:before="0" w:after="0" w:line="283" w:lineRule="exact"/>
      </w:pPr>
      <w:r/>
      <w:r>
        <w:rPr>
          <w:rFonts w:ascii="Montserrat" w:hAnsi="Montserrat" w:eastAsia="Montserrat" w:cs="Montserrat"/>
          <w:b w:val="0"/>
          <w:color w:val="102661"/>
          <w:sz w:val="21"/>
        </w:rPr>
        <w:t>Amostra de validação visual e estrutural. Dados, pessoas, votos e resultados são fictícios.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639"/>
        <w:gridCol w:w="200"/>
        <w:gridCol w:w="7639"/>
      </w:tblGrid>
      <w:tr>
        <w:tc>
          <w:tcPr>
            <w:tcW w:type="dxa" w:w="5159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spacing w:before="0" w:after="140" w:line="264" w:lineRule="exact"/>
              <w:shd w:fill="102661"/>
            </w:pPr>
            <w:r>
              <w:rPr>
                <w:caps/>
                <w:color w:val="FFFFFF"/>
              </w:rPr>
            </w:r>
            <w:r>
              <w:rPr>
                <w:rFonts w:ascii="Montserrat" w:hAnsi="Montserrat" w:eastAsia="Montserrat" w:cs="Montserrat"/>
                <w:b/>
                <w:caps/>
                <w:color w:val="FFFFFF"/>
                <w:sz w:val="22"/>
              </w:rPr>
              <w:t>Alinhamento e oportunidade</w:t>
            </w:r>
          </w:p>
          <w:p>
            <w:pPr>
              <w:spacing w:after="140" w:line="256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O caso fictício tem problema formulado e público definido, mas o potencial institucional não foi validado por fonte real.</w:t>
            </w:r>
          </w:p>
          <w:p>
            <w:pPr>
              <w:spacing w:before="0" w:after="0" w:line="208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Fontes: FIC-01</w:t>
            </w:r>
          </w:p>
        </w:tc>
        <w:tc>
          <w:tcPr>
            <w:tcW w:type="dxa" w:w="5159"/>
          </w:tcPr>
          <w:p/>
        </w:tc>
        <w:tc>
          <w:tcPr>
            <w:tcW w:type="dxa" w:w="5159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spacing w:before="0" w:after="140" w:line="264" w:lineRule="exact"/>
              <w:shd w:fill="102661"/>
            </w:pPr>
            <w:r>
              <w:rPr>
                <w:caps/>
                <w:color w:val="FFFFFF"/>
              </w:rPr>
            </w:r>
            <w:r>
              <w:rPr>
                <w:rFonts w:ascii="Montserrat" w:hAnsi="Montserrat" w:eastAsia="Montserrat" w:cs="Montserrat"/>
                <w:b/>
                <w:caps/>
                <w:color w:val="FFFFFF"/>
                <w:sz w:val="22"/>
              </w:rPr>
              <w:t>Redução de riscos</w:t>
            </w:r>
          </w:p>
          <w:p>
            <w:pPr>
              <w:spacing w:after="140" w:line="256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A evidência simulada equivale a relato e reação a conceito; não demonstra uso em produção, efeito ou viabilidade econômica.</w:t>
            </w:r>
          </w:p>
          <w:p>
            <w:pPr>
              <w:spacing w:before="0" w:after="0" w:line="208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Fontes: FIC-01</w:t>
            </w:r>
          </w:p>
        </w:tc>
      </w:tr>
    </w:tbl>
    <w:p>
      <w:pPr>
        <w:spacing w:before="0" w:after="16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pStyle w:val="Heading1"/>
        <w:spacing w:before="200" w:after="140" w:line="264" w:lineRule="exact"/>
        <w:shd w:fill="102661"/>
      </w:pPr>
      <w:r>
        <w:rPr>
          <w:caps/>
          <w:color w:val="FFFFFF"/>
        </w:rPr>
      </w:r>
      <w:r>
        <w:rPr>
          <w:rFonts w:ascii="Montserrat" w:hAnsi="Montserrat" w:eastAsia="Montserrat" w:cs="Montserrat"/>
          <w:b/>
          <w:caps/>
          <w:color w:val="FFFFFF"/>
          <w:sz w:val="22"/>
        </w:rPr>
        <w:t>Próximo gate</w:t>
      </w:r>
    </w:p>
    <w:p>
      <w:pPr>
        <w:spacing w:after="140" w:line="256" w:lineRule="exact"/>
      </w:pPr>
      <w:r>
        <w:rPr>
          <w:rFonts w:ascii="Montserrat" w:hAnsi="Montserrat" w:eastAsia="Montserrat" w:cs="Montserrat"/>
          <w:b w:val="0"/>
          <w:color w:val="30343B"/>
          <w:sz w:val="19"/>
        </w:rPr>
        <w:t>Antes de avançar, obter linha de base, testar o fluxo com público elegível e confirmar dependências operacionais.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Fontes: FIC-01</w:t>
      </w:r>
    </w:p>
    <w:p>
      <w:pPr>
        <w:spacing w:before="0" w:after="0" w:line="216" w:lineRule="exact"/>
      </w:pPr>
      <w:r/>
      <w:r>
        <w:rPr>
          <w:rFonts w:ascii="Montserrat" w:hAnsi="Montserrat" w:eastAsia="Montserrat" w:cs="Montserrat"/>
          <w:b/>
          <w:color w:val="193C8E"/>
          <w:sz w:val="18"/>
        </w:rPr>
        <w:t>Força das evidências: exemplo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59"/>
        <w:gridCol w:w="5159"/>
        <w:gridCol w:w="5159"/>
      </w:tblGrid>
      <w:tr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Dimensão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Estado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Lacuna</w:t>
            </w:r>
          </w:p>
        </w:tc>
      </w:tr>
      <w:tr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Desejabilidade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relato simulado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uso real</w:t>
            </w:r>
          </w:p>
        </w:tc>
      </w:tr>
      <w:tr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Viabilidade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não avaliada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custo e operação</w:t>
            </w:r>
          </w:p>
        </w:tc>
      </w:tr>
    </w:tbl>
    <w:p>
      <w:pPr>
        <w:spacing w:before="0" w:after="14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Fontes: FIC-01</w:t>
      </w:r>
    </w:p>
    <w:p>
      <w:pPr>
        <w:spacing w:before="0" w:after="16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pStyle w:val="Heading1"/>
        <w:spacing w:before="0" w:after="0" w:line="312" w:lineRule="exact"/>
      </w:pPr>
      <w:r/>
      <w:r>
        <w:rPr>
          <w:rFonts w:ascii="Montserrat" w:hAnsi="Montserrat" w:eastAsia="Montserrat" w:cs="Montserrat"/>
          <w:b/>
          <w:color w:val="193C8E"/>
          <w:sz w:val="26"/>
        </w:rPr>
        <w:t>Fontes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FIC-01: ata-simulada-5c exemplo fictício, sem coleta real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FIC-02: planilha-simulada exemplo fictício, sem dados reais</w:t>
      </w:r>
    </w:p>
    <w:sectPr w:rsidR="00FC693F" w:rsidRPr="0006063C" w:rsidSect="00034616">
      <w:pgSz w:w="16838" w:h="11906"/>
      <w:pgMar w:top="680" w:right="680" w:bottom="680" w:left="680" w:header="11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56" w:lineRule="exact"/>
    </w:pPr>
    <w:rPr>
      <w:rFonts w:ascii="Montserrat" w:hAnsi="Montserrat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ontserrat" w:hAnsi="Montserrat"/>
      <w:b/>
      <w:bCs/>
      <w:color w:val="193C8E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ontserrat" w:hAnsi="Montserrat"/>
      <w:b/>
      <w:bCs/>
      <w:color w:val="193C8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ontserrat" w:hAnsi="Montserrat"/>
      <w:b/>
      <w:color w:val="193C8E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EXEMPLO FICTÍCIO. Portal de solicitações: maturidade das evidências</dc:title>
  <dc:subject/>
  <dc:creator>my_skills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