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Estruturação da entrada guiada</w:t>
      </w:r>
    </w:p>
    <w:p>
      <w:r>
        <w:rPr>
          <w:color w:val="586EA4"/>
          <w:sz w:val="15"/>
        </w:rPr>
        <w:t>ID sample-three-e-workshop-record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  <w:shd w:fill="102661"/>
      </w:pPr>
      <w:r>
        <w:rPr>
          <w:color w:val="FFFFFF"/>
        </w:rPr>
        <w:t>E1 — Esclarecer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Hipótese focal simulada: uma entrada guiada pode reduzir solicitações incompletas para equipes e agentes elegíveis.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E2 — Estruturar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O MVP ilustrativo inclui perguntas condicionais e confirmação de envio. Integrações e automações ficam fora do primeiro recorte.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E3 — Experimentar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Planeja-se um Test Card de compreensão do fluxo e outro de completude da solicitação. Medidas e critérios devem ser fechados antes da coleta real.</w:t>
            </w:r>
          </w:p>
        </w:tc>
      </w:tr>
    </w:tbl>
    <w:p>
      <w:r>
        <w:t>Fontes: FIC-01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REGISTRO DO WORKSHOP 3E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Estruturação da entrada guiada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