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menos devoluções</w:t>
      </w:r>
    </w:p>
    <w:p>
      <w:r>
        <w:rPr>
          <w:color w:val="586EA4"/>
          <w:sz w:val="15"/>
        </w:rPr>
        <w:t>ID sample-briefing-one-page · versão 1.0.0 · Completo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Solicitações chegam por canais diferentes e sem informações padronizadas.</w:t>
              <w:br/>
              <w:t>Pontos: Há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Relevância</w:t>
              <w:br/>
              <w:t>O problema reduz a eficiência operacional e a confiança no processo interno.</w:t>
              <w:br/>
              <w:t>Pontos: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solicitações completas, rastreáveis e previsíveis.</w:t>
              <w:br/>
              <w:t>Pontos: Reduzir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Responsáveis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  <w:tr>
        <w:tc>
          <w:tcPr>
            <w:tcW w:type="dxa" w:w="7739"/>
          </w:tcPr>
          <w:p>
            <w:r>
              <w:t>Patrocinador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BRIEFING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