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Entrada guiada para reduzir solicitações incompletas</w:t>
      </w:r>
    </w:p>
    <w:p>
      <w:r>
        <w:rPr>
          <w:color w:val="586EA4"/>
          <w:sz w:val="15"/>
        </w:rPr>
        <w:t>ID sample-three-e-report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Rota da solução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Rota ilustrativa: undecided. A escolha interna, externa ou híbrida depende de capacidade, custo e requisitos ainda não verificados.</w:t>
            </w:r>
          </w:p>
        </w:tc>
      </w:tr>
    </w:tbl>
    <w:p>
      <w:r>
        <w:t>Fontes: FIC-01</w:t>
      </w:r>
    </w:p>
    <w:p>
      <w:r>
        <w:t>Componentes fictícios do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Componente</w:t>
            </w:r>
          </w:p>
        </w:tc>
        <w:tc>
          <w:tcPr>
            <w:tcW w:type="dxa" w:w="5159"/>
          </w:tcPr>
          <w:p>
            <w:r>
              <w:t>Recorte</w:t>
            </w:r>
          </w:p>
        </w:tc>
        <w:tc>
          <w:tcPr>
            <w:tcW w:type="dxa" w:w="5159"/>
          </w:tcPr>
          <w:p>
            <w:r>
              <w:t>Dependência</w:t>
            </w:r>
          </w:p>
        </w:tc>
      </w:tr>
      <w:tr>
        <w:tc>
          <w:tcPr>
            <w:tcW w:type="dxa" w:w="5159"/>
          </w:tcPr>
          <w:p>
            <w:r>
              <w:t>Perguntas guiadas</w:t>
            </w:r>
          </w:p>
        </w:tc>
        <w:tc>
          <w:tcPr>
            <w:tcW w:type="dxa" w:w="5159"/>
          </w:tcPr>
          <w:p>
            <w:r>
              <w:t>agora</w:t>
            </w:r>
          </w:p>
        </w:tc>
        <w:tc>
          <w:tcPr>
            <w:tcW w:type="dxa" w:w="5159"/>
          </w:tcPr>
          <w:p>
            <w:r>
              <w:t>regras de negócio</w:t>
            </w:r>
          </w:p>
        </w:tc>
      </w:tr>
      <w:tr>
        <w:tc>
          <w:tcPr>
            <w:tcW w:type="dxa" w:w="5159"/>
          </w:tcPr>
          <w:p>
            <w:r>
              <w:t>Status em tempo real</w:t>
            </w:r>
          </w:p>
        </w:tc>
        <w:tc>
          <w:tcPr>
            <w:tcW w:type="dxa" w:w="5159"/>
          </w:tcPr>
          <w:p>
            <w:r>
              <w:t>futuro</w:t>
            </w:r>
          </w:p>
        </w:tc>
        <w:tc>
          <w:tcPr>
            <w:tcW w:type="dxa" w:w="5159"/>
          </w:tcPr>
          <w:p>
            <w:r>
              <w:t>integração</w:t>
            </w:r>
          </w:p>
        </w:tc>
      </w:tr>
      <w:tr>
        <w:tc>
          <w:tcPr>
            <w:tcW w:type="dxa" w:w="5159"/>
          </w:tcPr>
          <w:p>
            <w:r>
              <w:t>Automação de decisão</w:t>
            </w:r>
          </w:p>
        </w:tc>
        <w:tc>
          <w:tcPr>
            <w:tcW w:type="dxa" w:w="5159"/>
          </w:tcPr>
          <w:p>
            <w:r>
              <w:t>fora</w:t>
            </w:r>
          </w:p>
        </w:tc>
        <w:tc>
          <w:tcPr>
            <w:tcW w:type="dxa" w:w="5159"/>
          </w:tcPr>
          <w:p>
            <w:r>
              <w:t>avaliação posterior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