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15478" w:val="right"/>
        </w:tabs>
        <w:spacing w:line="720" w:lineRule="exact"/>
        <w:pBdr>
          <w:bottom w:val="single" w:sz="12" w:color="193C8E"/>
        </w:pBdr>
      </w:pPr>
      <w:r>
        <w:rPr>
          <w:rFonts w:ascii="Montserrat" w:hAnsi="Montserrat" w:eastAsia="Montserrat" w:cs="Montserrat"/>
          <w:b/>
          <w:color w:val="4C73D1"/>
          <w:sz w:val="16"/>
        </w:rPr>
        <w:t>EVIDÊNCIAS E RECOMENDAÇÃO</w:t>
      </w:r>
      <w:r>
        <w:tab/>
        <w:drawing>
          <wp:inline xmlns:a="http://schemas.openxmlformats.org/drawingml/2006/main" xmlns:pic="http://schemas.openxmlformats.org/drawingml/2006/picture">
            <wp:extent cx="1080000" cy="404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ce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404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0" w:after="120"/>
      </w:pPr>
      <w:r>
        <w:rPr>
          <w:rFonts w:ascii="Montserrat" w:hAnsi="Montserrat" w:eastAsia="Montserrat" w:cs="Montserrat"/>
          <w:b/>
          <w:color w:val="193C8E"/>
          <w:sz w:val="48"/>
        </w:rPr>
        <w:t>EXEMPLO FICTÍCIO: Verificar volumes e causas antes de ampliar a solução</w:t>
      </w:r>
    </w:p>
    <w:p>
      <w:pPr>
        <w:spacing w:before="0" w:after="100" w:line="165" w:lineRule="exact"/>
      </w:pPr>
      <w:r/>
      <w:r>
        <w:rPr>
          <w:rFonts w:ascii="Montserrat" w:hAnsi="Montserrat" w:eastAsia="Montserrat" w:cs="Montserrat"/>
          <w:b w:val="0"/>
          <w:color w:val="586EA4"/>
          <w:sz w:val="15"/>
        </w:rPr>
        <w:t>ID sample-evidence-recommendation · versão 1.0.0 · Completo</w:t>
      </w:r>
    </w:p>
    <w:p>
      <w:pPr>
        <w:spacing w:before="0" w:after="0" w:line="283" w:lineRule="exact"/>
      </w:pPr>
      <w:r/>
      <w:r>
        <w:rPr>
          <w:rFonts w:ascii="Montserrat" w:hAnsi="Montserrat" w:eastAsia="Montserrat" w:cs="Montserrat"/>
          <w:b w:val="0"/>
          <w:color w:val="102661"/>
          <w:sz w:val="21"/>
        </w:rPr>
        <w:t>Amostra de validação visual e estrutural. Dados, pessoas, votos e resultados são fictícios.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639"/>
        <w:gridCol w:w="200"/>
        <w:gridCol w:w="7639"/>
      </w:tblGrid>
      <w:tr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tabs>
                <w:tab w:pos="240" w:val="left"/>
              </w:tabs>
              <w:spacing w:before="0" w:after="140" w:line="264" w:lineRule="exact"/>
              <w:shd w:fill="102661"/>
              <w:pBdr>
                <w:top w:val="single" w:sz="72" w:color="102661" w:space="0"/>
                <w:bottom w:val="single" w:sz="72" w:color="102661" w:space="0"/>
              </w:pBdr>
            </w:pPr>
            <w:r>
              <w:rPr>
                <w:caps/>
                <w:color w:val="FFFFFF"/>
              </w:rPr>
              <w:tab/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Pergunta de decisão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A evidência disponível autoriza ampliar a solução ou recomenda nova verificação?</w:t>
            </w: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[FIC-01]</w:t>
            </w:r>
          </w:p>
        </w:tc>
        <w:tc>
          <w:tcPr>
            <w:tcW w:type="dxa" w:w="5159"/>
          </w:tcPr>
          <w:p/>
        </w:tc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tabs>
                <w:tab w:pos="240" w:val="left"/>
              </w:tabs>
              <w:spacing w:before="0" w:after="140" w:line="264" w:lineRule="exact"/>
              <w:shd w:fill="102661"/>
              <w:pBdr>
                <w:top w:val="single" w:sz="72" w:color="102661" w:space="0"/>
                <w:bottom w:val="single" w:sz="72" w:color="102661" w:space="0"/>
              </w:pBdr>
            </w:pPr>
            <w:r>
              <w:rPr>
                <w:caps/>
                <w:color w:val="FFFFFF"/>
              </w:rPr>
              <w:tab/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Evidências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Fontes FIC-01 e FIC-02 são simuladas. Em um projeto real, cada fala, evento e medida precisaria de localização verificável.</w:t>
            </w: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[FIC-01]</w:t>
            </w:r>
          </w:p>
        </w:tc>
      </w:tr>
    </w:tbl>
    <w:p>
      <w:pPr>
        <w:spacing w:line="20" w:lineRule="exact" w:after="1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639"/>
        <w:gridCol w:w="200"/>
        <w:gridCol w:w="7639"/>
      </w:tblGrid>
      <w:tr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tabs>
                <w:tab w:pos="240" w:val="left"/>
              </w:tabs>
              <w:spacing w:before="0" w:after="140" w:line="264" w:lineRule="exact"/>
              <w:shd w:fill="102661"/>
              <w:pBdr>
                <w:top w:val="single" w:sz="72" w:color="102661" w:space="0"/>
                <w:bottom w:val="single" w:sz="72" w:color="102661" w:space="0"/>
              </w:pBdr>
            </w:pPr>
            <w:r>
              <w:rPr>
                <w:caps/>
                <w:color w:val="FFFFFF"/>
              </w:rPr>
              <w:tab/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Alternativas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Alternativas ilustrativas: novo teste com fluxo ajustado, piloto controlado ou pausa para melhorar dados e integração.</w:t>
            </w: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[FIC-01]</w:t>
            </w:r>
          </w:p>
        </w:tc>
        <w:tc>
          <w:tcPr>
            <w:tcW w:type="dxa" w:w="5159"/>
          </w:tcPr>
          <w:p/>
        </w:tc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tabs>
                <w:tab w:pos="240" w:val="left"/>
              </w:tabs>
              <w:spacing w:before="0" w:after="140" w:line="264" w:lineRule="exact"/>
              <w:shd w:fill="102661"/>
              <w:pBdr>
                <w:top w:val="single" w:sz="72" w:color="102661" w:space="0"/>
                <w:bottom w:val="single" w:sz="72" w:color="102661" w:space="0"/>
              </w:pBdr>
            </w:pPr>
            <w:r>
              <w:rPr>
                <w:caps/>
                <w:color w:val="FFFFFF"/>
              </w:rPr>
              <w:tab/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Recomendação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Investigar volumes e causas antes de comprometer construção. Nenhuma decisão real foi tomada neste exemplo.</w:t>
            </w: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[FIC-01]</w:t>
            </w:r>
          </w:p>
        </w:tc>
      </w:tr>
    </w:tbl>
    <w:p>
      <w:pPr>
        <w:spacing w:line="20" w:lineRule="exact" w:after="180"/>
      </w:pPr>
    </w:p>
    <w:p>
      <w:pPr>
        <w:pStyle w:val="Heading1"/>
        <w:tabs>
          <w:tab w:pos="240" w:val="left"/>
        </w:tabs>
        <w:spacing w:before="200" w:after="140" w:line="264" w:lineRule="exact"/>
        <w:shd w:fill="102661"/>
        <w:pBdr>
          <w:top w:val="single" w:sz="72" w:color="102661" w:space="0"/>
          <w:bottom w:val="single" w:sz="72" w:color="102661" w:space="0"/>
        </w:pBdr>
      </w:pPr>
      <w:r>
        <w:rPr>
          <w:caps/>
          <w:color w:val="FFFFFF"/>
        </w:rPr>
        <w:tab/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Condições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Avançar somente após critérios verificatórios, guardrails, responsáveis e evidências de operação serem documentados.</w:t>
      </w:r>
      <w:r>
        <w:rPr>
          <w:rFonts w:ascii="Montserrat" w:hAnsi="Montserrat" w:eastAsia="Montserrat" w:cs="Montserrat"/>
          <w:b w:val="0"/>
          <w:color w:val="30343B"/>
          <w:sz w:val="16"/>
        </w:rPr>
        <w:t>[FIC-01]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Alternativas ilustrativas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Opção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Evidência necessária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Decisão demonstrativa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Escalar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efeito e operação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 sustentada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Iterar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novo teste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recomendada apenas no cenário fictício</w:t>
            </w:r>
          </w:p>
        </w:tc>
      </w:tr>
    </w:tbl>
    <w:p>
      <w:pPr>
        <w:spacing w:before="0" w:after="14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line="20" w:lineRule="exact" w:after="180"/>
      </w:pPr>
    </w:p>
    <w:p>
      <w:pPr>
        <w:pStyle w:val="Heading1"/>
        <w:spacing w:before="0" w:after="0" w:line="312" w:lineRule="exact"/>
      </w:pPr>
      <w:r/>
      <w:r>
        <w:rPr>
          <w:rFonts w:ascii="Montserrat" w:hAnsi="Montserrat" w:eastAsia="Montserrat" w:cs="Montserrat"/>
          <w:b/>
          <w:color w:val="193C8E"/>
          <w:sz w:val="26"/>
        </w:rPr>
        <w:t>Fontes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FIC-01: ata-simulada-5c exemplo fictício, sem coleta real</w:t>
      </w:r>
    </w:p>
    <w:p>
      <w:r>
        <w:br w:type="page"/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FIC-02: planilha-simulada exemplo fictício, sem dados reais</w:t>
      </w:r>
    </w:p>
    <w:sectPr w:rsidR="00FC693F" w:rsidRPr="0006063C" w:rsidSect="00034616">
      <w:pgSz w:w="16838" w:h="11906"/>
      <w:pgMar w:top="680" w:right="680" w:bottom="680" w:left="680" w:header="11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6" w:lineRule="exact"/>
    </w:pPr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b/>
      <w:color w:val="193C8E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FICTÍCIO: Verificar volumes e causas antes de ampliar a solução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