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5478" w:val="right"/>
        </w:tabs>
        <w:spacing w:line="720" w:lineRule="exact"/>
        <w:pBdr>
          <w:bottom w:val="single" w:sz="12" w:color="193C8E"/>
        </w:pBdr>
      </w:pPr>
      <w:r>
        <w:rPr>
          <w:rFonts w:ascii="Montserrat" w:hAnsi="Montserrat" w:eastAsia="Montserrat" w:cs="Montserrat"/>
          <w:b/>
          <w:color w:val="4C73D1"/>
          <w:sz w:val="16"/>
        </w:rPr>
        <w:t>RELATÓRIO DE EXPERIMENTAÇÃO</w:t>
      </w:r>
      <w:r>
        <w:tab/>
        <w:drawing>
          <wp:inline xmlns:a="http://schemas.openxmlformats.org/drawingml/2006/main" xmlns:pic="http://schemas.openxmlformats.org/drawingml/2006/picture">
            <wp:extent cx="1080000" cy="404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c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04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0" w:after="120"/>
      </w:pPr>
      <w:r>
        <w:rPr>
          <w:rFonts w:ascii="Montserrat" w:hAnsi="Montserrat" w:eastAsia="Montserrat" w:cs="Montserrat"/>
          <w:b/>
          <w:color w:val="193C8E"/>
          <w:sz w:val="48"/>
        </w:rPr>
        <w:t>EXEMPLO FICTÍCIO: Rodada de testes do formulário guiado</w:t>
      </w:r>
    </w:p>
    <w:p>
      <w:pPr>
        <w:spacing w:before="0" w:after="10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sample-experiment-report · versão 1.0.0 · Completo</w:t>
      </w:r>
    </w:p>
    <w:p>
      <w:pPr>
        <w:spacing w:before="0" w:after="0" w:line="283" w:lineRule="exact"/>
      </w:pPr>
      <w:r/>
      <w:r>
        <w:rPr>
          <w:rFonts w:ascii="Montserrat" w:hAnsi="Montserrat" w:eastAsia="Montserrat" w:cs="Montserrat"/>
          <w:b w:val="0"/>
          <w:color w:val="102661"/>
          <w:sz w:val="21"/>
        </w:rPr>
        <w:t>Amostra de validação visual e estrutural. Dados, pessoas, votos e resultados são fictícios.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639"/>
        <w:gridCol w:w="200"/>
        <w:gridCol w:w="7639"/>
      </w:tblGrid>
      <w:tr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tabs>
                <w:tab w:pos="240" w:val="left"/>
              </w:tabs>
              <w:spacing w:before="0" w:after="140" w:line="264" w:lineRule="exact"/>
              <w:shd w:fill="102661"/>
              <w:pBdr>
                <w:top w:val="single" w:sz="72" w:color="102661" w:space="0"/>
                <w:bottom w:val="single" w:sz="72" w:color="102661" w:space="0"/>
              </w:pBdr>
            </w:pPr>
            <w:r>
              <w:rPr>
                <w:caps/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Escopo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Rodada fictícia sobre formulário guiado, com versão ilustrativa do MVP e público delimitado apenas para demonstrar o formato do relatório.</w:t>
            </w: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[FIC-01]</w:t>
            </w:r>
          </w:p>
        </w:tc>
        <w:tc>
          <w:tcPr>
            <w:tcW w:type="dxa" w:w="5159"/>
          </w:tcPr>
          <w:p/>
        </w:tc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tabs>
                <w:tab w:pos="240" w:val="left"/>
              </w:tabs>
              <w:spacing w:before="0" w:after="140" w:line="264" w:lineRule="exact"/>
              <w:shd w:fill="102661"/>
              <w:pBdr>
                <w:top w:val="single" w:sz="72" w:color="102661" w:space="0"/>
                <w:bottom w:val="single" w:sz="72" w:color="102661" w:space="0"/>
              </w:pBdr>
            </w:pPr>
            <w:r>
              <w:rPr>
                <w:caps/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Método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Teste moderado de tarefa para compreensão, seguido de piloto controlado para observar completude e tempo. Nenhuma coleta ocorreu neste exemplo.</w:t>
            </w: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[FIC-01]</w:t>
            </w:r>
          </w:p>
        </w:tc>
      </w:tr>
    </w:tbl>
    <w:p>
      <w:pPr>
        <w:spacing w:line="20" w:lineRule="exact" w:after="1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639"/>
        <w:gridCol w:w="200"/>
        <w:gridCol w:w="7639"/>
      </w:tblGrid>
      <w:tr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tabs>
                <w:tab w:pos="240" w:val="left"/>
              </w:tabs>
              <w:spacing w:before="0" w:after="140" w:line="264" w:lineRule="exact"/>
              <w:shd w:fill="102661"/>
              <w:pBdr>
                <w:top w:val="single" w:sz="72" w:color="102661" w:space="0"/>
                <w:bottom w:val="single" w:sz="72" w:color="102661" w:space="0"/>
              </w:pBdr>
            </w:pPr>
            <w:r>
              <w:rPr>
                <w:caps/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Evidências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Fontes FIC-01 e FIC-02 são simuladas. Em um projeto real, cada fala, evento e medida precisaria de localização verificável.</w:t>
            </w: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[FIC-01]</w:t>
            </w:r>
          </w:p>
        </w:tc>
        <w:tc>
          <w:tcPr>
            <w:tcW w:type="dxa" w:w="5159"/>
          </w:tcPr>
          <w:p/>
        </w:tc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tabs>
                <w:tab w:pos="240" w:val="left"/>
              </w:tabs>
              <w:spacing w:before="0" w:after="140" w:line="264" w:lineRule="exact"/>
              <w:shd w:fill="102661"/>
              <w:pBdr>
                <w:top w:val="single" w:sz="72" w:color="102661" w:space="0"/>
                <w:bottom w:val="single" w:sz="72" w:color="102661" w:space="0"/>
              </w:pBdr>
            </w:pPr>
            <w:r>
              <w:rPr>
                <w:caps/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Resultados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Resultado ilustrativo misto: usuários entenderiam o fluxo, mas parte ainda dependeria de ajuda. Os números desta amostra não representam uma medição real.</w:t>
            </w: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[FIC-01]</w:t>
            </w:r>
          </w:p>
        </w:tc>
      </w:tr>
    </w:tbl>
    <w:p>
      <w:pPr>
        <w:spacing w:line="20" w:lineRule="exact" w:after="180"/>
      </w:pPr>
    </w:p>
    <w:p>
      <w:pPr>
        <w:pStyle w:val="Heading1"/>
        <w:tabs>
          <w:tab w:pos="240" w:val="left"/>
        </w:tabs>
        <w:spacing w:before="200" w:after="140" w:line="264" w:lineRule="exact"/>
        <w:shd w:fill="102661"/>
        <w:pBdr>
          <w:top w:val="single" w:sz="72" w:color="102661" w:space="0"/>
          <w:bottom w:val="single" w:sz="72" w:color="102661" w:space="0"/>
        </w:pBdr>
      </w:pPr>
      <w:r>
        <w:rPr>
          <w:caps/>
          <w:color w:val="FFFFFF"/>
        </w:rPr>
        <w:tab/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Limites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Sem coleta real, comparação válida ou amostra representativa, nenhuma conclusão sobre efeito, inadimplência ou escala é permitida.</w:t>
      </w:r>
      <w:r>
        <w:rPr>
          <w:rFonts w:ascii="Montserrat" w:hAnsi="Montserrat" w:eastAsia="Montserrat" w:cs="Montserrat"/>
          <w:b w:val="0"/>
          <w:color w:val="30343B"/>
          <w:sz w:val="16"/>
        </w:rPr>
        <w:t>[FIC-01]</w:t>
      </w:r>
    </w:p>
    <w:p>
      <w:pPr>
        <w:spacing w:line="20" w:lineRule="exact" w:after="180"/>
      </w:pPr>
    </w:p>
    <w:p>
      <w:pPr>
        <w:pStyle w:val="Heading1"/>
        <w:tabs>
          <w:tab w:pos="240" w:val="left"/>
        </w:tabs>
        <w:spacing w:before="200" w:after="140" w:line="264" w:lineRule="exact"/>
        <w:shd w:fill="102661"/>
        <w:pBdr>
          <w:top w:val="single" w:sz="72" w:color="102661" w:space="0"/>
          <w:bottom w:val="single" w:sz="72" w:color="102661" w:space="0"/>
        </w:pBdr>
      </w:pPr>
      <w:r>
        <w:rPr>
          <w:caps/>
          <w:color w:val="FFFFFF"/>
        </w:rPr>
        <w:tab/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Recomendação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Investigar volumes e causas antes de comprometer construção. Nenhuma decisão real foi tomada neste exemplo.</w:t>
      </w:r>
      <w:r>
        <w:rPr>
          <w:rFonts w:ascii="Montserrat" w:hAnsi="Montserrat" w:eastAsia="Montserrat" w:cs="Montserrat"/>
          <w:b w:val="0"/>
          <w:color w:val="30343B"/>
          <w:sz w:val="16"/>
        </w:rPr>
        <w:t>[FIC-01]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Matriz ilustrativa de evidências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Teste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Observação fictícia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Limite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TC-01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3 de 5 sem ajuda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amostra de tarefa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TC-02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tempo não apurado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instrumentação pendente</w:t>
            </w:r>
          </w:p>
        </w:tc>
      </w:tr>
    </w:tbl>
    <w:p>
      <w:pPr>
        <w:spacing w:before="0" w:after="14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FIC-02</w:t>
      </w:r>
    </w:p>
    <w:p>
      <w:pPr>
        <w:spacing w:line="20" w:lineRule="exact" w:after="180"/>
      </w:pPr>
    </w:p>
    <w:p>
      <w:pPr>
        <w:pStyle w:val="Heading1"/>
        <w:spacing w:before="0" w:after="0" w:line="312" w:lineRule="exact"/>
      </w:pPr>
      <w:r/>
      <w:r>
        <w:rPr>
          <w:rFonts w:ascii="Montserrat" w:hAnsi="Montserrat" w:eastAsia="Montserrat" w:cs="Montserrat"/>
          <w:b/>
          <w:color w:val="193C8E"/>
          <w:sz w:val="26"/>
        </w:rPr>
        <w:t>Fontes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FIC-01: ata-simulada-5c exemplo fictício, sem coleta real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FIC-02: planilha-simulada exemplo fictício, sem dados reais</w:t>
      </w:r>
    </w:p>
    <w:sectPr w:rsidR="00FC693F" w:rsidRPr="0006063C" w:rsidSect="00034616">
      <w:pgSz w:w="16838" w:h="11906"/>
      <w:pgMar w:top="680" w:right="680" w:bottom="680" w:left="680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6" w:lineRule="exact"/>
    </w:pPr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Rodada de testes do formulário guiado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