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DBDC" w14:textId="77777777" w:rsidR="00225F53" w:rsidRDefault="00000000">
      <w:pPr>
        <w:pStyle w:val="Heading1"/>
      </w:pPr>
      <w:bookmarkStart w:id="0" w:name="Xc49216ace33389e10e146cbde873537a4919634"/>
      <w:r>
        <w:rPr>
          <w:b/>
          <w:bCs/>
        </w:rPr>
        <w:t>Management Summary — REST Interfaces over Message Queues</w:t>
      </w:r>
    </w:p>
    <w:p w14:paraId="31552C89" w14:textId="77777777" w:rsidR="00225F53" w:rsidRDefault="00000000">
      <w:pPr>
        <w:pStyle w:val="Heading3"/>
      </w:pPr>
      <w:bookmarkStart w:id="1" w:name="purpose"/>
      <w:r>
        <w:t>Purpose</w:t>
      </w:r>
    </w:p>
    <w:p w14:paraId="2B9A64A7" w14:textId="77777777" w:rsidR="00225F53" w:rsidRDefault="00000000">
      <w:pPr>
        <w:pStyle w:val="FirstParagraph"/>
      </w:pPr>
      <w:r>
        <w:t xml:space="preserve">Expose a </w:t>
      </w:r>
      <w:r>
        <w:rPr>
          <w:b/>
          <w:bCs/>
        </w:rPr>
        <w:t>REST façade</w:t>
      </w:r>
      <w:r>
        <w:t xml:space="preserve"> on top of an enterprise </w:t>
      </w:r>
      <w:r>
        <w:rPr>
          <w:b/>
          <w:bCs/>
        </w:rPr>
        <w:t>message broker</w:t>
      </w:r>
      <w:r>
        <w:t xml:space="preserve"> (e.g., Solace, IBM MQ, Artemis) to let external or non-native clients publish/consume messages via HTTP rather than JMS/AMQP/MQTT.</w:t>
      </w:r>
    </w:p>
    <w:p w14:paraId="5D142F30" w14:textId="77777777" w:rsidR="00225F53" w:rsidRDefault="00000000">
      <w:r>
        <w:pict w14:anchorId="491A0AEC">
          <v:rect id="_x0000_i1025" style="width:0;height:1.5pt" o:hralign="center" o:hrstd="t" o:hr="t"/>
        </w:pict>
      </w:r>
    </w:p>
    <w:p w14:paraId="6A631A14" w14:textId="77777777" w:rsidR="00225F53" w:rsidRDefault="00000000">
      <w:pPr>
        <w:pStyle w:val="Heading3"/>
      </w:pPr>
      <w:bookmarkStart w:id="2" w:name="strategic-motivations"/>
      <w:bookmarkEnd w:id="1"/>
      <w:r>
        <w:t>Strategic Motivations</w:t>
      </w:r>
    </w:p>
    <w:p w14:paraId="76EC62B4" w14:textId="77777777" w:rsidR="00225F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Ease of integration</w:t>
      </w:r>
      <w:r>
        <w:t xml:space="preserve"> — any client or SaaS can speak HTTP; no SDKs or drivers needed.</w:t>
      </w:r>
    </w:p>
    <w:p w14:paraId="659393BE" w14:textId="77777777" w:rsidR="00225F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Security &amp; compliance</w:t>
      </w:r>
      <w:r>
        <w:t xml:space="preserve"> — HTTP fits existing controls (OAuth2, mTLS, WAF, API gateways).</w:t>
      </w:r>
    </w:p>
    <w:p w14:paraId="6997BFB4" w14:textId="77777777" w:rsidR="00225F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Firewall/NAT traversal</w:t>
      </w:r>
      <w:r>
        <w:t xml:space="preserve"> — REST is enterprise-friendly compared to raw broker ports.</w:t>
      </w:r>
    </w:p>
    <w:p w14:paraId="7DA25ADE" w14:textId="77777777" w:rsidR="00225F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Partner enablement</w:t>
      </w:r>
      <w:r>
        <w:t xml:space="preserve"> — simplifies onboarding for vendors and external systems.</w:t>
      </w:r>
    </w:p>
    <w:p w14:paraId="5884E7DD" w14:textId="77777777" w:rsidR="00225F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API governance alignment</w:t>
      </w:r>
      <w:r>
        <w:t xml:space="preserve"> — OpenAPI specs, rate limits, and observability integrate cleanly.</w:t>
      </w:r>
    </w:p>
    <w:p w14:paraId="7DBFF4CE" w14:textId="77777777" w:rsidR="00225F53" w:rsidRDefault="00000000">
      <w:r>
        <w:pict w14:anchorId="0721DE73">
          <v:rect id="_x0000_i1026" style="width:0;height:1.5pt" o:hralign="center" o:hrstd="t" o:hr="t"/>
        </w:pict>
      </w:r>
    </w:p>
    <w:p w14:paraId="481F75C7" w14:textId="77777777" w:rsidR="00225F53" w:rsidRDefault="00000000">
      <w:pPr>
        <w:pStyle w:val="Heading3"/>
      </w:pPr>
      <w:bookmarkStart w:id="3" w:name="core-risks-technical-trade-offs"/>
      <w:bookmarkEnd w:id="2"/>
      <w:r>
        <w:t>Core Risks / Technical Trade-offs</w:t>
      </w:r>
    </w:p>
    <w:p w14:paraId="79F61F58" w14:textId="77777777" w:rsidR="00225F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Delivery semantics</w:t>
      </w:r>
      <w:r>
        <w:t xml:space="preserve"> – HTTP can’t ensure exactly-once; must emulate with idempotency keys.</w:t>
      </w:r>
    </w:p>
    <w:p w14:paraId="721D5AD1" w14:textId="77777777" w:rsidR="00225F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Ordering</w:t>
      </w:r>
      <w:r>
        <w:t xml:space="preserve"> – no native session ordering; per-key serialization required.</w:t>
      </w:r>
    </w:p>
    <w:p w14:paraId="6B31FAD6" w14:textId="77777777" w:rsidR="00225F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Backpressure</w:t>
      </w:r>
      <w:r>
        <w:t xml:space="preserve"> – no credit-based flow control; must fake with 429s and leases.</w:t>
      </w:r>
    </w:p>
    <w:p w14:paraId="7770C7C5" w14:textId="77777777" w:rsidR="00225F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Transactions</w:t>
      </w:r>
      <w:r>
        <w:t xml:space="preserve"> – XA and session commits don’t map to REST; only eventual consistency possible.</w:t>
      </w:r>
    </w:p>
    <w:p w14:paraId="3CACBD4A" w14:textId="77777777" w:rsidR="00225F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Synchronous blocking</w:t>
      </w:r>
      <w:r>
        <w:t xml:space="preserve"> – REST encourages sync behavior; if misused, kills throughput and stability.</w:t>
      </w:r>
    </w:p>
    <w:p w14:paraId="49E688F0" w14:textId="77777777" w:rsidR="00225F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Reconnect/resume</w:t>
      </w:r>
      <w:r>
        <w:t xml:space="preserve"> – stateless HTTP loses consumer position; resume tokens mandatory.</w:t>
      </w:r>
    </w:p>
    <w:p w14:paraId="2C203CD9" w14:textId="77777777" w:rsidR="00225F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Latency &amp; throughput</w:t>
      </w:r>
      <w:r>
        <w:t xml:space="preserve"> – REST adds 10–50× latency, 10–30× lower throughput per core.</w:t>
      </w:r>
    </w:p>
    <w:p w14:paraId="6BCB2C9E" w14:textId="77777777" w:rsidR="00225F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DLQ / TTL / replay</w:t>
      </w:r>
      <w:r>
        <w:t xml:space="preserve"> – must rebuild these features at the API layer.</w:t>
      </w:r>
    </w:p>
    <w:p w14:paraId="6C7B96CB" w14:textId="77777777" w:rsidR="00225F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Observability mismatch</w:t>
      </w:r>
      <w:r>
        <w:t xml:space="preserve"> – need dual telemetry planes (HTTP + broker metrics).</w:t>
      </w:r>
    </w:p>
    <w:p w14:paraId="5C54CB14" w14:textId="77777777" w:rsidR="00225F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Security drift</w:t>
      </w:r>
      <w:r>
        <w:t xml:space="preserve"> – ACLs must be mirrored between gateway and broker; prone to misalignment.</w:t>
      </w:r>
    </w:p>
    <w:p w14:paraId="3BFF964F" w14:textId="77777777" w:rsidR="00225F53" w:rsidRDefault="00000000">
      <w:r>
        <w:lastRenderedPageBreak/>
        <w:pict w14:anchorId="395F85AB">
          <v:rect id="_x0000_i1027" style="width:0;height:1.5pt" o:hralign="center" o:hrstd="t" o:hr="t"/>
        </w:pict>
      </w:r>
    </w:p>
    <w:p w14:paraId="57361895" w14:textId="77777777" w:rsidR="00225F53" w:rsidRDefault="00000000">
      <w:pPr>
        <w:pStyle w:val="Heading3"/>
      </w:pPr>
      <w:bookmarkStart w:id="4" w:name="Xf6304f789249532f3b3fc99e2566425354eca40"/>
      <w:bookmarkEnd w:id="3"/>
      <w:r>
        <w:t>Mitigation Summary (what we can realistically do)</w:t>
      </w:r>
    </w:p>
    <w:p w14:paraId="5159FBB2" w14:textId="77777777" w:rsidR="00225F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Idempotency store</w:t>
      </w:r>
      <w:r>
        <w:t xml:space="preserve"> – Redis/RocksDB deduplication keyed by message ID.</w:t>
      </w:r>
    </w:p>
    <w:p w14:paraId="0419C744" w14:textId="77777777" w:rsidR="00225F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Ordering keys</w:t>
      </w:r>
      <w:r>
        <w:t xml:space="preserve"> – one in-flight message per logical partition (customer, entity, etc.).</w:t>
      </w:r>
    </w:p>
    <w:p w14:paraId="6BFE28E2" w14:textId="77777777" w:rsidR="00225F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Leases &amp; credits</w:t>
      </w:r>
      <w:r>
        <w:t xml:space="preserve"> – limit inflight deliveries; return </w:t>
      </w:r>
      <w:r>
        <w:rPr>
          <w:rStyle w:val="VerbatimChar"/>
        </w:rPr>
        <w:t>429 + Retry-After</w:t>
      </w:r>
      <w:r>
        <w:t xml:space="preserve"> on overload.</w:t>
      </w:r>
    </w:p>
    <w:p w14:paraId="10735440" w14:textId="77777777" w:rsidR="00225F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Outbox pattern</w:t>
      </w:r>
      <w:r>
        <w:t xml:space="preserve"> – replace XA with application-level atomic writes + async publish.</w:t>
      </w:r>
    </w:p>
    <w:p w14:paraId="3373CF54" w14:textId="77777777" w:rsidR="00225F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Async design discipline</w:t>
      </w:r>
      <w:r>
        <w:t xml:space="preserve"> – always respond </w:t>
      </w:r>
      <w:r>
        <w:rPr>
          <w:rStyle w:val="VerbatimChar"/>
        </w:rPr>
        <w:t>201/202</w:t>
      </w:r>
      <w:r>
        <w:t xml:space="preserve"> and offload work to queue.</w:t>
      </w:r>
    </w:p>
    <w:p w14:paraId="7CE58634" w14:textId="77777777" w:rsidR="00225F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Resume tokens</w:t>
      </w:r>
      <w:r>
        <w:t xml:space="preserve"> – consumers reconnect with last offset (</w:t>
      </w:r>
      <w:r>
        <w:rPr>
          <w:rStyle w:val="VerbatimChar"/>
        </w:rPr>
        <w:t>?resume=offset|time</w:t>
      </w:r>
      <w:r>
        <w:t>).</w:t>
      </w:r>
    </w:p>
    <w:p w14:paraId="0C5A7E0B" w14:textId="77777777" w:rsidR="00225F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Batching &amp; HTTP/2</w:t>
      </w:r>
      <w:r>
        <w:t xml:space="preserve"> – batch 50+ messages, keep connections alive.</w:t>
      </w:r>
    </w:p>
    <w:p w14:paraId="06A216EF" w14:textId="77777777" w:rsidR="00225F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Replay endpoints</w:t>
      </w:r>
      <w:r>
        <w:t xml:space="preserve"> – </w:t>
      </w:r>
      <w:r>
        <w:rPr>
          <w:rStyle w:val="VerbatimChar"/>
        </w:rPr>
        <w:t>/deadletters</w:t>
      </w:r>
      <w:r>
        <w:t xml:space="preserve">, </w:t>
      </w:r>
      <w:r>
        <w:rPr>
          <w:rStyle w:val="VerbatimChar"/>
        </w:rPr>
        <w:t>/replay</w:t>
      </w:r>
      <w:r>
        <w:t xml:space="preserve">, </w:t>
      </w:r>
      <w:r>
        <w:rPr>
          <w:rStyle w:val="VerbatimChar"/>
        </w:rPr>
        <w:t>/operations/{id}</w:t>
      </w:r>
      <w:r>
        <w:t xml:space="preserve"> for operational parity.</w:t>
      </w:r>
    </w:p>
    <w:p w14:paraId="13568560" w14:textId="77777777" w:rsidR="00225F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Tracing &amp; metrics</w:t>
      </w:r>
      <w:r>
        <w:t xml:space="preserve"> – propagate </w:t>
      </w:r>
      <w:r>
        <w:rPr>
          <w:rStyle w:val="VerbatimChar"/>
        </w:rPr>
        <w:t>traceparent</w:t>
      </w:r>
      <w:r>
        <w:t>; monitor lag/redelivery vs HTTP latency.</w:t>
      </w:r>
    </w:p>
    <w:p w14:paraId="79477057" w14:textId="77777777" w:rsidR="00225F5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Unified ACLs</w:t>
      </w:r>
      <w:r>
        <w:t xml:space="preserve"> – sync JWT scopes ↔ broker ACLs via central policy-as-code.</w:t>
      </w:r>
    </w:p>
    <w:p w14:paraId="44ADA9D9" w14:textId="77777777" w:rsidR="00225F53" w:rsidRDefault="00000000">
      <w:r>
        <w:pict w14:anchorId="2097CB30">
          <v:rect id="_x0000_i1028" style="width:0;height:1.5pt" o:hralign="center" o:hrstd="t" o:hr="t"/>
        </w:pict>
      </w:r>
    </w:p>
    <w:p w14:paraId="5559C791" w14:textId="77777777" w:rsidR="00225F53" w:rsidRDefault="00000000">
      <w:pPr>
        <w:pStyle w:val="Heading3"/>
      </w:pPr>
      <w:bookmarkStart w:id="5" w:name="quantitative-impacts-approximate"/>
      <w:bookmarkEnd w:id="4"/>
      <w:r>
        <w:t>Quantitative Impacts (approximate)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24"/>
        <w:gridCol w:w="1576"/>
        <w:gridCol w:w="3758"/>
        <w:gridCol w:w="1818"/>
      </w:tblGrid>
      <w:tr w:rsidR="00225F53" w14:paraId="1B1C6C44" w14:textId="77777777" w:rsidTr="00225F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5" w:type="dxa"/>
          </w:tcPr>
          <w:p w14:paraId="7049E86E" w14:textId="77777777" w:rsidR="00225F53" w:rsidRDefault="00000000">
            <w:pPr>
              <w:pStyle w:val="Compact"/>
            </w:pPr>
            <w:r>
              <w:t>Metric</w:t>
            </w:r>
          </w:p>
        </w:tc>
        <w:tc>
          <w:tcPr>
            <w:tcW w:w="1303" w:type="dxa"/>
          </w:tcPr>
          <w:p w14:paraId="5E66AD3C" w14:textId="77777777" w:rsidR="00225F53" w:rsidRDefault="00000000">
            <w:pPr>
              <w:pStyle w:val="Compact"/>
            </w:pPr>
            <w:r>
              <w:t>Native MQ</w:t>
            </w:r>
          </w:p>
        </w:tc>
        <w:tc>
          <w:tcPr>
            <w:tcW w:w="3107" w:type="dxa"/>
          </w:tcPr>
          <w:p w14:paraId="2410B895" w14:textId="77777777" w:rsidR="00225F53" w:rsidRDefault="00000000">
            <w:pPr>
              <w:pStyle w:val="Compact"/>
            </w:pPr>
            <w:r>
              <w:t>REST façade</w:t>
            </w:r>
          </w:p>
        </w:tc>
        <w:tc>
          <w:tcPr>
            <w:tcW w:w="1503" w:type="dxa"/>
          </w:tcPr>
          <w:p w14:paraId="3085E12E" w14:textId="77777777" w:rsidR="00225F53" w:rsidRDefault="00000000">
            <w:pPr>
              <w:pStyle w:val="Compact"/>
            </w:pPr>
            <w:r>
              <w:t>Δ</w:t>
            </w:r>
          </w:p>
        </w:tc>
      </w:tr>
      <w:tr w:rsidR="00225F53" w14:paraId="76CE91B3" w14:textId="77777777">
        <w:tc>
          <w:tcPr>
            <w:tcW w:w="2005" w:type="dxa"/>
          </w:tcPr>
          <w:p w14:paraId="2C723C47" w14:textId="77777777" w:rsidR="00225F53" w:rsidRDefault="00000000">
            <w:pPr>
              <w:pStyle w:val="Compact"/>
            </w:pPr>
            <w:r>
              <w:t>Throughput/core</w:t>
            </w:r>
          </w:p>
        </w:tc>
        <w:tc>
          <w:tcPr>
            <w:tcW w:w="1303" w:type="dxa"/>
          </w:tcPr>
          <w:p w14:paraId="357F45E3" w14:textId="77777777" w:rsidR="00225F53" w:rsidRDefault="00000000">
            <w:pPr>
              <w:pStyle w:val="Compact"/>
            </w:pPr>
            <w:r>
              <w:t>20–100k msg/s</w:t>
            </w:r>
          </w:p>
        </w:tc>
        <w:tc>
          <w:tcPr>
            <w:tcW w:w="3107" w:type="dxa"/>
          </w:tcPr>
          <w:p w14:paraId="6EA8E3FD" w14:textId="77777777" w:rsidR="00225F53" w:rsidRDefault="00000000">
            <w:pPr>
              <w:pStyle w:val="Compact"/>
            </w:pPr>
            <w:r>
              <w:t>0.5–8k msg/s (with mitigations)</w:t>
            </w:r>
          </w:p>
        </w:tc>
        <w:tc>
          <w:tcPr>
            <w:tcW w:w="1503" w:type="dxa"/>
          </w:tcPr>
          <w:p w14:paraId="603F4889" w14:textId="77777777" w:rsidR="00225F53" w:rsidRDefault="00000000">
            <w:pPr>
              <w:pStyle w:val="Compact"/>
            </w:pPr>
            <w:r>
              <w:t>↓ 10–30×</w:t>
            </w:r>
          </w:p>
        </w:tc>
      </w:tr>
      <w:tr w:rsidR="00225F53" w14:paraId="2BAB2E9F" w14:textId="77777777">
        <w:tc>
          <w:tcPr>
            <w:tcW w:w="2005" w:type="dxa"/>
          </w:tcPr>
          <w:p w14:paraId="6DB86960" w14:textId="77777777" w:rsidR="00225F53" w:rsidRDefault="00000000">
            <w:pPr>
              <w:pStyle w:val="Compact"/>
            </w:pPr>
            <w:r>
              <w:t>Median latency</w:t>
            </w:r>
          </w:p>
        </w:tc>
        <w:tc>
          <w:tcPr>
            <w:tcW w:w="1303" w:type="dxa"/>
          </w:tcPr>
          <w:p w14:paraId="56AF70B3" w14:textId="77777777" w:rsidR="00225F53" w:rsidRDefault="00000000">
            <w:pPr>
              <w:pStyle w:val="Compact"/>
            </w:pPr>
            <w:r>
              <w:t>1–5 ms</w:t>
            </w:r>
          </w:p>
        </w:tc>
        <w:tc>
          <w:tcPr>
            <w:tcW w:w="3107" w:type="dxa"/>
          </w:tcPr>
          <w:p w14:paraId="2383615D" w14:textId="77777777" w:rsidR="00225F53" w:rsidRDefault="00000000">
            <w:pPr>
              <w:pStyle w:val="Compact"/>
            </w:pPr>
            <w:r>
              <w:t>10–30 ms</w:t>
            </w:r>
          </w:p>
        </w:tc>
        <w:tc>
          <w:tcPr>
            <w:tcW w:w="1503" w:type="dxa"/>
          </w:tcPr>
          <w:p w14:paraId="023AFA91" w14:textId="77777777" w:rsidR="00225F53" w:rsidRDefault="00000000">
            <w:pPr>
              <w:pStyle w:val="Compact"/>
            </w:pPr>
            <w:r>
              <w:t>↑ 10×</w:t>
            </w:r>
          </w:p>
        </w:tc>
      </w:tr>
      <w:tr w:rsidR="00225F53" w14:paraId="56900340" w14:textId="77777777">
        <w:tc>
          <w:tcPr>
            <w:tcW w:w="2005" w:type="dxa"/>
          </w:tcPr>
          <w:p w14:paraId="6128481A" w14:textId="77777777" w:rsidR="00225F53" w:rsidRDefault="00000000">
            <w:pPr>
              <w:pStyle w:val="Compact"/>
            </w:pPr>
            <w:r>
              <w:t>p99 latency</w:t>
            </w:r>
          </w:p>
        </w:tc>
        <w:tc>
          <w:tcPr>
            <w:tcW w:w="1303" w:type="dxa"/>
          </w:tcPr>
          <w:p w14:paraId="61630315" w14:textId="77777777" w:rsidR="00225F53" w:rsidRDefault="00000000">
            <w:pPr>
              <w:pStyle w:val="Compact"/>
            </w:pPr>
            <w:r>
              <w:t>&lt;10 ms</w:t>
            </w:r>
          </w:p>
        </w:tc>
        <w:tc>
          <w:tcPr>
            <w:tcW w:w="3107" w:type="dxa"/>
          </w:tcPr>
          <w:p w14:paraId="2E7A1D36" w14:textId="77777777" w:rsidR="00225F53" w:rsidRDefault="00000000">
            <w:pPr>
              <w:pStyle w:val="Compact"/>
            </w:pPr>
            <w:r>
              <w:t>80–250 ms</w:t>
            </w:r>
          </w:p>
        </w:tc>
        <w:tc>
          <w:tcPr>
            <w:tcW w:w="1503" w:type="dxa"/>
          </w:tcPr>
          <w:p w14:paraId="1DBF7FA1" w14:textId="77777777" w:rsidR="00225F53" w:rsidRDefault="00000000">
            <w:pPr>
              <w:pStyle w:val="Compact"/>
            </w:pPr>
            <w:r>
              <w:t>↑ 20×</w:t>
            </w:r>
          </w:p>
        </w:tc>
      </w:tr>
      <w:tr w:rsidR="00225F53" w14:paraId="1CAC4239" w14:textId="77777777">
        <w:tc>
          <w:tcPr>
            <w:tcW w:w="2005" w:type="dxa"/>
          </w:tcPr>
          <w:p w14:paraId="6DD99E31" w14:textId="77777777" w:rsidR="00225F53" w:rsidRDefault="00000000">
            <w:pPr>
              <w:pStyle w:val="Compact"/>
            </w:pPr>
            <w:r>
              <w:t>Duplication rate</w:t>
            </w:r>
          </w:p>
        </w:tc>
        <w:tc>
          <w:tcPr>
            <w:tcW w:w="1303" w:type="dxa"/>
          </w:tcPr>
          <w:p w14:paraId="5096A5E0" w14:textId="77777777" w:rsidR="00225F53" w:rsidRDefault="00000000">
            <w:pPr>
              <w:pStyle w:val="Compact"/>
            </w:pPr>
            <w:r>
              <w:t>~0</w:t>
            </w:r>
          </w:p>
        </w:tc>
        <w:tc>
          <w:tcPr>
            <w:tcW w:w="3107" w:type="dxa"/>
          </w:tcPr>
          <w:p w14:paraId="3E6667C1" w14:textId="77777777" w:rsidR="00225F53" w:rsidRDefault="00000000">
            <w:pPr>
              <w:pStyle w:val="Compact"/>
            </w:pPr>
            <w:r>
              <w:t>0.01–0.1%</w:t>
            </w:r>
          </w:p>
        </w:tc>
        <w:tc>
          <w:tcPr>
            <w:tcW w:w="1503" w:type="dxa"/>
          </w:tcPr>
          <w:p w14:paraId="79A727BC" w14:textId="77777777" w:rsidR="00225F53" w:rsidRDefault="00000000">
            <w:pPr>
              <w:pStyle w:val="Compact"/>
            </w:pPr>
            <w:r>
              <w:t>slight</w:t>
            </w:r>
          </w:p>
        </w:tc>
      </w:tr>
      <w:tr w:rsidR="00225F53" w14:paraId="27599472" w14:textId="77777777">
        <w:tc>
          <w:tcPr>
            <w:tcW w:w="2005" w:type="dxa"/>
          </w:tcPr>
          <w:p w14:paraId="17753FFA" w14:textId="77777777" w:rsidR="00225F53" w:rsidRDefault="00000000">
            <w:pPr>
              <w:pStyle w:val="Compact"/>
            </w:pPr>
            <w:r>
              <w:t>Operational overhead</w:t>
            </w:r>
          </w:p>
        </w:tc>
        <w:tc>
          <w:tcPr>
            <w:tcW w:w="1303" w:type="dxa"/>
          </w:tcPr>
          <w:p w14:paraId="0824274D" w14:textId="77777777" w:rsidR="00225F53" w:rsidRDefault="00000000">
            <w:pPr>
              <w:pStyle w:val="Compact"/>
            </w:pPr>
            <w:r>
              <w:t>low</w:t>
            </w:r>
          </w:p>
        </w:tc>
        <w:tc>
          <w:tcPr>
            <w:tcW w:w="3107" w:type="dxa"/>
          </w:tcPr>
          <w:p w14:paraId="6E046167" w14:textId="77777777" w:rsidR="00225F53" w:rsidRDefault="00000000">
            <w:pPr>
              <w:pStyle w:val="Compact"/>
            </w:pPr>
            <w:r>
              <w:t>high</w:t>
            </w:r>
          </w:p>
        </w:tc>
        <w:tc>
          <w:tcPr>
            <w:tcW w:w="1503" w:type="dxa"/>
          </w:tcPr>
          <w:p w14:paraId="3919A19B" w14:textId="77777777" w:rsidR="00225F53" w:rsidRDefault="00000000">
            <w:pPr>
              <w:pStyle w:val="Compact"/>
            </w:pPr>
            <w:r>
              <w:t>↑ 50%+ ops load</w:t>
            </w:r>
          </w:p>
        </w:tc>
      </w:tr>
    </w:tbl>
    <w:p w14:paraId="32A0AACA" w14:textId="77777777" w:rsidR="00225F53" w:rsidRDefault="00000000">
      <w:r>
        <w:pict w14:anchorId="7A5AB0A6">
          <v:rect id="_x0000_i1029" style="width:0;height:1.5pt" o:hralign="center" o:hrstd="t" o:hr="t"/>
        </w:pict>
      </w:r>
    </w:p>
    <w:p w14:paraId="58C4C4E6" w14:textId="77777777" w:rsidR="00225F53" w:rsidRDefault="00000000">
      <w:pPr>
        <w:pStyle w:val="Heading3"/>
      </w:pPr>
      <w:bookmarkStart w:id="6" w:name="systemic-principles"/>
      <w:bookmarkEnd w:id="5"/>
      <w:r>
        <w:t>Systemic Principles</w:t>
      </w:r>
    </w:p>
    <w:p w14:paraId="0FC28A44" w14:textId="77777777" w:rsidR="00225F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REST is synchronous; MQs are asynchronous</w:t>
      </w:r>
      <w:r>
        <w:t xml:space="preserve"> — bridging them is not lossless.</w:t>
      </w:r>
    </w:p>
    <w:p w14:paraId="353F1CF5" w14:textId="77777777" w:rsidR="00225F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Don’t block HTTP</w:t>
      </w:r>
      <w:r>
        <w:t xml:space="preserve"> waiting for message processing; treat REST as an enqueue-only control plane.</w:t>
      </w:r>
    </w:p>
    <w:p w14:paraId="5146BD11" w14:textId="77777777" w:rsidR="00225F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SSE/WebSockets</w:t>
      </w:r>
      <w:r>
        <w:t xml:space="preserve"> can approximate streaming, but still require offset checkpointing.</w:t>
      </w:r>
    </w:p>
    <w:p w14:paraId="21D01BC1" w14:textId="77777777" w:rsidR="00225F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Idempotency beats transactions</w:t>
      </w:r>
      <w:r>
        <w:t xml:space="preserve"> across distributed boundaries.</w:t>
      </w:r>
    </w:p>
    <w:p w14:paraId="47C58824" w14:textId="77777777" w:rsidR="00225F5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Async semantics must be contractually explicit</w:t>
      </w:r>
      <w:r>
        <w:t xml:space="preserve"> — not an implementation detail.</w:t>
      </w:r>
    </w:p>
    <w:p w14:paraId="00049C6E" w14:textId="77777777" w:rsidR="00225F53" w:rsidRDefault="00000000">
      <w:r>
        <w:pict w14:anchorId="0437C3B3">
          <v:rect id="_x0000_i1030" style="width:0;height:1.5pt" o:hralign="center" o:hrstd="t" o:hr="t"/>
        </w:pict>
      </w:r>
    </w:p>
    <w:p w14:paraId="4BF1E926" w14:textId="77777777" w:rsidR="00225F53" w:rsidRDefault="00000000">
      <w:pPr>
        <w:pStyle w:val="Heading3"/>
      </w:pPr>
      <w:bookmarkStart w:id="7" w:name="where-rest-over-mq-makes-sense"/>
      <w:bookmarkEnd w:id="6"/>
      <w:r>
        <w:lastRenderedPageBreak/>
        <w:t>Where REST-over-MQ Makes Sense</w:t>
      </w:r>
    </w:p>
    <w:p w14:paraId="1A8A31B2" w14:textId="77777777" w:rsidR="00225F53" w:rsidRDefault="00000000">
      <w:pPr>
        <w:pStyle w:val="Compact"/>
        <w:numPr>
          <w:ilvl w:val="0"/>
          <w:numId w:val="6"/>
        </w:numPr>
      </w:pPr>
      <w:r>
        <w:t>External partner / SaaS integrations (webhooks, telemetry).</w:t>
      </w:r>
    </w:p>
    <w:p w14:paraId="42A147AA" w14:textId="77777777" w:rsidR="00225F53" w:rsidRDefault="00000000">
      <w:pPr>
        <w:pStyle w:val="Compact"/>
        <w:numPr>
          <w:ilvl w:val="0"/>
          <w:numId w:val="6"/>
        </w:numPr>
      </w:pPr>
      <w:r>
        <w:t>Admin tools, dashboards, monitoring, or ad-hoc producers.</w:t>
      </w:r>
    </w:p>
    <w:p w14:paraId="404721F8" w14:textId="77777777" w:rsidR="00225F53" w:rsidRDefault="00000000">
      <w:pPr>
        <w:pStyle w:val="Compact"/>
        <w:numPr>
          <w:ilvl w:val="0"/>
          <w:numId w:val="6"/>
        </w:numPr>
      </w:pPr>
      <w:r>
        <w:t>Low-volume, high-friction integrations where broker clients aren’t practical.</w:t>
      </w:r>
    </w:p>
    <w:p w14:paraId="03EEFF70" w14:textId="77777777" w:rsidR="00225F53" w:rsidRDefault="00000000">
      <w:pPr>
        <w:pStyle w:val="Compact"/>
        <w:numPr>
          <w:ilvl w:val="0"/>
          <w:numId w:val="6"/>
        </w:numPr>
      </w:pPr>
      <w:r>
        <w:t>Controlled latency (&lt;250 ms p99) and at-least-once delivery are acceptable.</w:t>
      </w:r>
    </w:p>
    <w:p w14:paraId="02CA2516" w14:textId="77777777" w:rsidR="00225F53" w:rsidRDefault="00000000">
      <w:r>
        <w:pict w14:anchorId="6A5B5303">
          <v:rect id="_x0000_i1031" style="width:0;height:1.5pt" o:hralign="center" o:hrstd="t" o:hr="t"/>
        </w:pict>
      </w:r>
    </w:p>
    <w:p w14:paraId="1FFD75B7" w14:textId="77777777" w:rsidR="00225F53" w:rsidRDefault="00000000">
      <w:pPr>
        <w:pStyle w:val="Heading3"/>
      </w:pPr>
      <w:bookmarkStart w:id="8" w:name="where-it-should-be-rejected"/>
      <w:bookmarkEnd w:id="7"/>
      <w:r>
        <w:t>Where It Should Be Rejected</w:t>
      </w:r>
    </w:p>
    <w:p w14:paraId="5999B437" w14:textId="77777777" w:rsidR="00225F53" w:rsidRDefault="00000000">
      <w:pPr>
        <w:pStyle w:val="Compact"/>
        <w:numPr>
          <w:ilvl w:val="0"/>
          <w:numId w:val="7"/>
        </w:numPr>
      </w:pPr>
      <w:r>
        <w:t>Internal high-throughput event pipelines.</w:t>
      </w:r>
    </w:p>
    <w:p w14:paraId="78A37E70" w14:textId="77777777" w:rsidR="00225F53" w:rsidRDefault="00000000">
      <w:pPr>
        <w:pStyle w:val="Compact"/>
        <w:numPr>
          <w:ilvl w:val="0"/>
          <w:numId w:val="7"/>
        </w:numPr>
      </w:pPr>
      <w:r>
        <w:t>Systems requiring strict ordering, low latency (&lt;10 ms), or transactional boundaries.</w:t>
      </w:r>
    </w:p>
    <w:p w14:paraId="33369470" w14:textId="77777777" w:rsidR="00225F53" w:rsidRDefault="00000000">
      <w:pPr>
        <w:pStyle w:val="Compact"/>
        <w:numPr>
          <w:ilvl w:val="0"/>
          <w:numId w:val="7"/>
        </w:numPr>
      </w:pPr>
      <w:r>
        <w:t>Scenarios with symmetric control (you own both producer and consumer).</w:t>
      </w:r>
    </w:p>
    <w:p w14:paraId="4FE94901" w14:textId="77777777" w:rsidR="00225F53" w:rsidRDefault="00000000">
      <w:pPr>
        <w:pStyle w:val="Compact"/>
        <w:numPr>
          <w:ilvl w:val="0"/>
          <w:numId w:val="7"/>
        </w:numPr>
      </w:pPr>
      <w:r>
        <w:t>Core domain event buses or command streams.</w:t>
      </w:r>
    </w:p>
    <w:p w14:paraId="43A28DAB" w14:textId="77777777" w:rsidR="00225F53" w:rsidRDefault="00000000">
      <w:r>
        <w:pict w14:anchorId="4C8C81A4">
          <v:rect id="_x0000_i1032" style="width:0;height:1.5pt" o:hralign="center" o:hrstd="t" o:hr="t"/>
        </w:pict>
      </w:r>
    </w:p>
    <w:p w14:paraId="4E21BEF3" w14:textId="77777777" w:rsidR="00225F53" w:rsidRDefault="00000000">
      <w:pPr>
        <w:pStyle w:val="Heading3"/>
      </w:pPr>
      <w:bookmarkStart w:id="9" w:name="bottom-line"/>
      <w:bookmarkEnd w:id="8"/>
      <w:r>
        <w:t>Bottom Line</w:t>
      </w:r>
    </w:p>
    <w:p w14:paraId="7FA74458" w14:textId="77777777" w:rsidR="00225F53" w:rsidRDefault="00000000">
      <w:pPr>
        <w:pStyle w:val="BlockText"/>
      </w:pPr>
      <w:r>
        <w:t xml:space="preserve">REST-over-MQ improves </w:t>
      </w:r>
      <w:r>
        <w:rPr>
          <w:i/>
          <w:iCs/>
        </w:rPr>
        <w:t>reach</w:t>
      </w:r>
      <w:r>
        <w:t xml:space="preserve">, not </w:t>
      </w:r>
      <w:r>
        <w:rPr>
          <w:i/>
          <w:iCs/>
        </w:rPr>
        <w:t>reliability</w:t>
      </w:r>
      <w:r>
        <w:t xml:space="preserve">. It simplifies the </w:t>
      </w:r>
      <w:r>
        <w:rPr>
          <w:b/>
          <w:bCs/>
        </w:rPr>
        <w:t>edge</w:t>
      </w:r>
      <w:r>
        <w:t xml:space="preserve">, but complicates the </w:t>
      </w:r>
      <w:r>
        <w:rPr>
          <w:b/>
          <w:bCs/>
        </w:rPr>
        <w:t>core</w:t>
      </w:r>
      <w:r>
        <w:t xml:space="preserve">. Treat it as an </w:t>
      </w:r>
      <w:r>
        <w:rPr>
          <w:b/>
          <w:bCs/>
        </w:rPr>
        <w:t>integration layer</w:t>
      </w:r>
      <w:r>
        <w:t xml:space="preserve">, never as a </w:t>
      </w:r>
      <w:r>
        <w:rPr>
          <w:b/>
          <w:bCs/>
        </w:rPr>
        <w:t>replacement</w:t>
      </w:r>
      <w:r>
        <w:t xml:space="preserve"> for native message clients.</w:t>
      </w:r>
    </w:p>
    <w:p w14:paraId="4EF5DC87" w14:textId="77777777" w:rsidR="00225F53" w:rsidRDefault="00000000">
      <w:r>
        <w:pict w14:anchorId="45564B77">
          <v:rect id="_x0000_i1033" style="width:0;height:1.5pt" o:hralign="center" o:hrstd="t" o:hr="t"/>
        </w:pict>
      </w:r>
      <w:bookmarkEnd w:id="0"/>
      <w:bookmarkEnd w:id="9"/>
    </w:p>
    <w:sectPr w:rsidR="00225F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7064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2618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25022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86041431">
    <w:abstractNumId w:val="0"/>
  </w:num>
  <w:num w:numId="2" w16cid:durableId="520582452">
    <w:abstractNumId w:val="1"/>
  </w:num>
  <w:num w:numId="3" w16cid:durableId="15863743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1954822">
    <w:abstractNumId w:val="1"/>
  </w:num>
  <w:num w:numId="5" w16cid:durableId="1456438479">
    <w:abstractNumId w:val="1"/>
  </w:num>
  <w:num w:numId="6" w16cid:durableId="1072506544">
    <w:abstractNumId w:val="1"/>
  </w:num>
  <w:num w:numId="7" w16cid:durableId="849609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F53"/>
    <w:rsid w:val="00097C12"/>
    <w:rsid w:val="00225F53"/>
    <w:rsid w:val="00BB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E438"/>
  <w15:docId w15:val="{A35AE2F3-FB77-4570-A52D-ED57B602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537</Words>
  <Characters>3348</Characters>
  <Application>Microsoft Office Word</Application>
  <DocSecurity>0</DocSecurity>
  <Lines>104</Lines>
  <Paragraphs>84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Mark Ray-Smith</cp:lastModifiedBy>
  <cp:revision>2</cp:revision>
  <dcterms:created xsi:type="dcterms:W3CDTF">2025-11-04T13:48:00Z</dcterms:created>
  <dcterms:modified xsi:type="dcterms:W3CDTF">2025-11-04T13:56:00Z</dcterms:modified>
</cp:coreProperties>
</file>