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Node.js/Express Login System: Code Comparison Report</w:t>
      </w:r>
    </w:p>
    <w:p>
      <w:pPr>
        <w:spacing w:after="200"/>
      </w:pPr>
      <w:r>
        <w:rPr>
          <w:rFonts w:ascii="Arial" w:cs="Arial" w:eastAsia="Arial" w:hAnsi="Arial"/>
          <w:i/>
          <w:iCs/>
          <w:color w:val="666666"/>
          <w:sz w:val="22"/>
          <w:szCs w:val="22"/>
        </w:rPr>
        <w:t xml:space="preserve">Web Development Assignment | Spring 2026</w:t>
      </w:r>
    </w:p>
    <w:p>
      <w:pPr>
        <w:pStyle w:val="Heading2"/>
      </w:pPr>
      <w:r>
        <w:t xml:space="preserve">Feature Comparison Table</w:t>
      </w:r>
    </w:p>
    <w:p>
      <w:pPr>
        <w:spacing w:after="160"/>
      </w:pPr>
      <w:r>
        <w:rPr>
          <w:rFonts w:ascii="Arial" w:cs="Arial" w:eastAsia="Arial" w:hAnsi="Arial"/>
          <w:sz w:val="22"/>
          <w:szCs w:val="22"/>
        </w:rPr>
        <w:t xml:space="preserve">The table below summarises the key differences between the Student Code and AI Code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Feature</w:t>
            </w:r>
          </w:p>
        </w:tc>
        <w:tc>
          <w:tcPr>
            <w:tcW w:type="dxa" w:w="2340"/>
            <w:tcBorders>
              <w:top w:val="single" w:color="AAAAAA" w:sz="1"/>
              <w:left w:val="single" w:color="AAAAAA" w:sz="1"/>
              <w:bottom w:val="single" w:color="AAAAAA" w:sz="1"/>
              <w:right w:val="single" w:color="AAAAAA" w:sz="1"/>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Student Code</w:t>
            </w:r>
          </w:p>
        </w:tc>
        <w:tc>
          <w:tcPr>
            <w:tcW w:type="dxa" w:w="2340"/>
            <w:tcBorders>
              <w:top w:val="single" w:color="AAAAAA" w:sz="1"/>
              <w:left w:val="single" w:color="AAAAAA" w:sz="1"/>
              <w:bottom w:val="single" w:color="AAAAAA" w:sz="1"/>
              <w:right w:val="single" w:color="AAAAAA" w:sz="1"/>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AI Code</w:t>
            </w:r>
          </w:p>
        </w:tc>
        <w:tc>
          <w:tcPr>
            <w:tcW w:type="dxa" w:w="2340"/>
            <w:tcBorders>
              <w:top w:val="single" w:color="AAAAAA" w:sz="1"/>
              <w:left w:val="single" w:color="AAAAAA" w:sz="1"/>
              <w:bottom w:val="single" w:color="AAAAAA" w:sz="1"/>
              <w:right w:val="single" w:color="AAAAAA" w:sz="1"/>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Notes</w:t>
            </w:r>
          </w:p>
        </w:tc>
      </w:tr>
      <w:tr>
        <w:tc>
          <w:tcPr>
            <w:tcW w:type="dxa" w:w="2340"/>
            <w:tcBorders>
              <w:top w:val="single" w:color="AAAAAA" w:sz="1"/>
              <w:left w:val="single" w:color="AAAAAA" w:sz="1"/>
              <w:bottom w:val="single" w:color="AAAAAA" w:sz="1"/>
              <w:right w:val="single" w:color="AAAAAA" w:sz="1"/>
            </w:tcBorders>
            <w:shd w:fill="F0F4F8" w:val="clear"/>
            <w:tcMar>
              <w:top w:type="dxa" w:w="100"/>
              <w:left w:type="dxa" w:w="150"/>
              <w:bottom w:type="dxa" w:w="100"/>
              <w:right w:type="dxa" w:w="150"/>
            </w:tcMar>
          </w:tcPr>
          <w:p>
            <w:r>
              <w:rPr>
                <w:rFonts w:ascii="Arial" w:cs="Arial" w:eastAsia="Arial" w:hAnsi="Arial"/>
                <w:b/>
                <w:bCs/>
                <w:sz w:val="22"/>
                <w:szCs w:val="22"/>
              </w:rPr>
              <w:t xml:space="preserve">Structure</w:t>
            </w:r>
          </w:p>
        </w:tc>
        <w:tc>
          <w:tcPr>
            <w:tcW w:type="dxa" w:w="2340"/>
            <w:tcBorders>
              <w:top w:val="single" w:color="AAAAAA" w:sz="1"/>
              <w:left w:val="single" w:color="AAAAAA" w:sz="1"/>
              <w:bottom w:val="single" w:color="AAAAAA" w:sz="1"/>
              <w:right w:val="single" w:color="AAAAAA" w:sz="1"/>
            </w:tcBorders>
            <w:shd w:fill="FFF8E7" w:val="clear"/>
            <w:tcMar>
              <w:top w:type="dxa" w:w="100"/>
              <w:left w:type="dxa" w:w="150"/>
              <w:bottom w:type="dxa" w:w="100"/>
              <w:right w:type="dxa" w:w="150"/>
            </w:tcMar>
          </w:tcPr>
          <w:p>
            <w:pPr>
              <w:jc w:val="center"/>
            </w:pPr>
            <w:r>
              <w:rPr>
                <w:rFonts w:ascii="Arial" w:cs="Arial" w:eastAsia="Arial" w:hAnsi="Arial"/>
                <w:sz w:val="22"/>
                <w:szCs w:val="22"/>
              </w:rPr>
              <w:t xml:space="preserve">Simple</w:t>
            </w:r>
          </w:p>
        </w:tc>
        <w:tc>
          <w:tcPr>
            <w:tcW w:type="dxa" w:w="2340"/>
            <w:tcBorders>
              <w:top w:val="single" w:color="AAAAAA" w:sz="1"/>
              <w:left w:val="single" w:color="AAAAAA" w:sz="1"/>
              <w:bottom w:val="single" w:color="AAAAAA" w:sz="1"/>
              <w:right w:val="single" w:color="AAAAAA" w:sz="1"/>
            </w:tcBorders>
            <w:shd w:fill="E8F5E9" w:val="clear"/>
            <w:tcMar>
              <w:top w:type="dxa" w:w="100"/>
              <w:left w:type="dxa" w:w="150"/>
              <w:bottom w:type="dxa" w:w="100"/>
              <w:right w:type="dxa" w:w="150"/>
            </w:tcMar>
          </w:tcPr>
          <w:p>
            <w:pPr>
              <w:jc w:val="center"/>
            </w:pPr>
            <w:r>
              <w:rPr>
                <w:rFonts w:ascii="Arial" w:cs="Arial" w:eastAsia="Arial" w:hAnsi="Arial"/>
                <w:sz w:val="22"/>
                <w:szCs w:val="22"/>
              </w:rPr>
              <w:t xml:space="preserve">Advanced</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Modular, env config, try/catch</w:t>
            </w:r>
          </w:p>
        </w:tc>
      </w:tr>
      <w:tr>
        <w:tc>
          <w:tcPr>
            <w:tcW w:type="dxa" w:w="2340"/>
            <w:tcBorders>
              <w:top w:val="single" w:color="AAAAAA" w:sz="1"/>
              <w:left w:val="single" w:color="AAAAAA" w:sz="1"/>
              <w:bottom w:val="single" w:color="AAAAAA" w:sz="1"/>
              <w:right w:val="single" w:color="AAAAAA" w:sz="1"/>
            </w:tcBorders>
            <w:shd w:fill="F0F4F8" w:val="clear"/>
            <w:tcMar>
              <w:top w:type="dxa" w:w="100"/>
              <w:left w:type="dxa" w:w="150"/>
              <w:bottom w:type="dxa" w:w="100"/>
              <w:right w:type="dxa" w:w="150"/>
            </w:tcMar>
          </w:tcPr>
          <w:p>
            <w:r>
              <w:rPr>
                <w:rFonts w:ascii="Arial" w:cs="Arial" w:eastAsia="Arial" w:hAnsi="Arial"/>
                <w:b/>
                <w:bCs/>
                <w:sz w:val="22"/>
                <w:szCs w:val="22"/>
              </w:rPr>
              <w:t xml:space="preserve">Readability</w:t>
            </w:r>
          </w:p>
        </w:tc>
        <w:tc>
          <w:tcPr>
            <w:tcW w:type="dxa" w:w="2340"/>
            <w:tcBorders>
              <w:top w:val="single" w:color="AAAAAA" w:sz="1"/>
              <w:left w:val="single" w:color="AAAAAA" w:sz="1"/>
              <w:bottom w:val="single" w:color="AAAAAA" w:sz="1"/>
              <w:right w:val="single" w:color="AAAAAA" w:sz="1"/>
            </w:tcBorders>
            <w:shd w:fill="FFF8E7" w:val="clear"/>
            <w:tcMar>
              <w:top w:type="dxa" w:w="100"/>
              <w:left w:type="dxa" w:w="150"/>
              <w:bottom w:type="dxa" w:w="100"/>
              <w:right w:type="dxa" w:w="150"/>
            </w:tcMar>
          </w:tcPr>
          <w:p>
            <w:pPr>
              <w:jc w:val="center"/>
            </w:pPr>
            <w:r>
              <w:rPr>
                <w:rFonts w:ascii="Arial" w:cs="Arial" w:eastAsia="Arial" w:hAnsi="Arial"/>
                <w:sz w:val="22"/>
                <w:szCs w:val="22"/>
              </w:rPr>
              <w:t xml:space="preserve">Easy</w:t>
            </w:r>
          </w:p>
        </w:tc>
        <w:tc>
          <w:tcPr>
            <w:tcW w:type="dxa" w:w="2340"/>
            <w:tcBorders>
              <w:top w:val="single" w:color="AAAAAA" w:sz="1"/>
              <w:left w:val="single" w:color="AAAAAA" w:sz="1"/>
              <w:bottom w:val="single" w:color="AAAAAA" w:sz="1"/>
              <w:right w:val="single" w:color="AAAAAA" w:sz="1"/>
            </w:tcBorders>
            <w:shd w:fill="FFF3E0" w:val="clear"/>
            <w:tcMar>
              <w:top w:type="dxa" w:w="100"/>
              <w:left w:type="dxa" w:w="150"/>
              <w:bottom w:type="dxa" w:w="100"/>
              <w:right w:type="dxa" w:w="150"/>
            </w:tcMar>
          </w:tcPr>
          <w:p>
            <w:pPr>
              <w:jc w:val="center"/>
            </w:pPr>
            <w:r>
              <w:rPr>
                <w:rFonts w:ascii="Arial" w:cs="Arial" w:eastAsia="Arial" w:hAnsi="Arial"/>
                <w:sz w:val="22"/>
                <w:szCs w:val="22"/>
              </w:rPr>
              <w:t xml:space="preserve">Medium</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AI code is more layered</w:t>
            </w:r>
          </w:p>
        </w:tc>
      </w:tr>
      <w:tr>
        <w:tc>
          <w:tcPr>
            <w:tcW w:type="dxa" w:w="2340"/>
            <w:tcBorders>
              <w:top w:val="single" w:color="AAAAAA" w:sz="1"/>
              <w:left w:val="single" w:color="AAAAAA" w:sz="1"/>
              <w:bottom w:val="single" w:color="AAAAAA" w:sz="1"/>
              <w:right w:val="single" w:color="AAAAAA" w:sz="1"/>
            </w:tcBorders>
            <w:shd w:fill="F0F4F8" w:val="clear"/>
            <w:tcMar>
              <w:top w:type="dxa" w:w="100"/>
              <w:left w:type="dxa" w:w="150"/>
              <w:bottom w:type="dxa" w:w="100"/>
              <w:right w:type="dxa" w:w="150"/>
            </w:tcMar>
          </w:tcPr>
          <w:p>
            <w:r>
              <w:rPr>
                <w:rFonts w:ascii="Arial" w:cs="Arial" w:eastAsia="Arial" w:hAnsi="Arial"/>
                <w:b/>
                <w:bCs/>
                <w:sz w:val="22"/>
                <w:szCs w:val="22"/>
              </w:rPr>
              <w:t xml:space="preserve">Security</w:t>
            </w:r>
          </w:p>
        </w:tc>
        <w:tc>
          <w:tcPr>
            <w:tcW w:type="dxa" w:w="2340"/>
            <w:tcBorders>
              <w:top w:val="single" w:color="AAAAAA" w:sz="1"/>
              <w:left w:val="single" w:color="AAAAAA" w:sz="1"/>
              <w:bottom w:val="single" w:color="AAAAAA" w:sz="1"/>
              <w:right w:val="single" w:color="AAAAAA" w:sz="1"/>
            </w:tcBorders>
            <w:shd w:fill="FFEBEE" w:val="clear"/>
            <w:tcMar>
              <w:top w:type="dxa" w:w="100"/>
              <w:left w:type="dxa" w:w="150"/>
              <w:bottom w:type="dxa" w:w="100"/>
              <w:right w:type="dxa" w:w="150"/>
            </w:tcMar>
          </w:tcPr>
          <w:p>
            <w:pPr>
              <w:jc w:val="center"/>
            </w:pPr>
            <w:r>
              <w:rPr>
                <w:rFonts w:ascii="Arial" w:cs="Arial" w:eastAsia="Arial" w:hAnsi="Arial"/>
                <w:sz w:val="22"/>
                <w:szCs w:val="22"/>
              </w:rPr>
              <w:t xml:space="preserve">Basic</w:t>
            </w:r>
          </w:p>
        </w:tc>
        <w:tc>
          <w:tcPr>
            <w:tcW w:type="dxa" w:w="2340"/>
            <w:tcBorders>
              <w:top w:val="single" w:color="AAAAAA" w:sz="1"/>
              <w:left w:val="single" w:color="AAAAAA" w:sz="1"/>
              <w:bottom w:val="single" w:color="AAAAAA" w:sz="1"/>
              <w:right w:val="single" w:color="AAAAAA" w:sz="1"/>
            </w:tcBorders>
            <w:shd w:fill="E8F5E9" w:val="clear"/>
            <w:tcMar>
              <w:top w:type="dxa" w:w="100"/>
              <w:left w:type="dxa" w:w="150"/>
              <w:bottom w:type="dxa" w:w="100"/>
              <w:right w:type="dxa" w:w="150"/>
            </w:tcMar>
          </w:tcPr>
          <w:p>
            <w:pPr>
              <w:jc w:val="center"/>
            </w:pPr>
            <w:r>
              <w:rPr>
                <w:rFonts w:ascii="Arial" w:cs="Arial" w:eastAsia="Arial" w:hAnsi="Arial"/>
                <w:sz w:val="22"/>
                <w:szCs w:val="22"/>
              </w:rPr>
              <w:t xml:space="preserve">Good</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bcrypt vs. plain-text passwords</w:t>
            </w:r>
          </w:p>
        </w:tc>
      </w:tr>
      <w:tr>
        <w:tc>
          <w:tcPr>
            <w:tcW w:type="dxa" w:w="2340"/>
            <w:tcBorders>
              <w:top w:val="single" w:color="AAAAAA" w:sz="1"/>
              <w:left w:val="single" w:color="AAAAAA" w:sz="1"/>
              <w:bottom w:val="single" w:color="AAAAAA" w:sz="1"/>
              <w:right w:val="single" w:color="AAAAAA" w:sz="1"/>
            </w:tcBorders>
            <w:shd w:fill="F0F4F8" w:val="clear"/>
            <w:tcMar>
              <w:top w:type="dxa" w:w="100"/>
              <w:left w:type="dxa" w:w="150"/>
              <w:bottom w:type="dxa" w:w="100"/>
              <w:right w:type="dxa" w:w="150"/>
            </w:tcMar>
          </w:tcPr>
          <w:p>
            <w:r>
              <w:rPr>
                <w:rFonts w:ascii="Arial" w:cs="Arial" w:eastAsia="Arial" w:hAnsi="Arial"/>
                <w:b/>
                <w:bCs/>
                <w:sz w:val="22"/>
                <w:szCs w:val="22"/>
              </w:rPr>
              <w:t xml:space="preserve">Session Handling</w:t>
            </w:r>
          </w:p>
        </w:tc>
        <w:tc>
          <w:tcPr>
            <w:tcW w:type="dxa" w:w="2340"/>
            <w:tcBorders>
              <w:top w:val="single" w:color="AAAAAA" w:sz="1"/>
              <w:left w:val="single" w:color="AAAAAA" w:sz="1"/>
              <w:bottom w:val="single" w:color="AAAAAA" w:sz="1"/>
              <w:right w:val="single" w:color="AAAAAA" w:sz="1"/>
            </w:tcBorders>
            <w:shd w:fill="E8F5E9" w:val="clear"/>
            <w:tcMar>
              <w:top w:type="dxa" w:w="100"/>
              <w:left w:type="dxa" w:w="150"/>
              <w:bottom w:type="dxa" w:w="100"/>
              <w:right w:type="dxa" w:w="150"/>
            </w:tcMar>
          </w:tcPr>
          <w:p>
            <w:pPr>
              <w:jc w:val="center"/>
            </w:pPr>
            <w:r>
              <w:rPr>
                <w:rFonts w:ascii="Arial" w:cs="Arial" w:eastAsia="Arial" w:hAnsi="Arial"/>
                <w:sz w:val="22"/>
                <w:szCs w:val="22"/>
              </w:rPr>
              <w:t xml:space="preserve">Yes</w:t>
            </w:r>
          </w:p>
        </w:tc>
        <w:tc>
          <w:tcPr>
            <w:tcW w:type="dxa" w:w="2340"/>
            <w:tcBorders>
              <w:top w:val="single" w:color="AAAAAA" w:sz="1"/>
              <w:left w:val="single" w:color="AAAAAA" w:sz="1"/>
              <w:bottom w:val="single" w:color="AAAAAA" w:sz="1"/>
              <w:right w:val="single" w:color="AAAAAA" w:sz="1"/>
            </w:tcBorders>
            <w:shd w:fill="E8F5E9" w:val="clear"/>
            <w:tcMar>
              <w:top w:type="dxa" w:w="100"/>
              <w:left w:type="dxa" w:w="150"/>
              <w:bottom w:type="dxa" w:w="100"/>
              <w:right w:type="dxa" w:w="150"/>
            </w:tcMar>
          </w:tcPr>
          <w:p>
            <w:pPr>
              <w:jc w:val="center"/>
            </w:pPr>
            <w:r>
              <w:rPr>
                <w:rFonts w:ascii="Arial" w:cs="Arial" w:eastAsia="Arial" w:hAnsi="Arial"/>
                <w:sz w:val="22"/>
                <w:szCs w:val="22"/>
              </w:rPr>
              <w:t xml:space="preserve">Yes</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AI adds cookie options &amp; clearCookie</w:t>
            </w:r>
          </w:p>
        </w:tc>
      </w:tr>
    </w:tbl>
    <w:p>
      <w:pPr>
        <w:spacing w:after="300"/>
      </w:pPr>
    </w:p>
    <w:p>
      <w:pPr>
        <w:pStyle w:val="Heading2"/>
      </w:pPr>
      <w:r>
        <w:t xml:space="preserve">Detailed Analysis</w:t>
      </w:r>
    </w:p>
    <w:p>
      <w:pPr>
        <w:pStyle w:val="Heading2"/>
      </w:pPr>
      <w:r>
        <w:t xml:space="preserve">Structure</w:t>
      </w:r>
    </w:p>
    <w:p>
      <w:pPr>
        <w:spacing w:after="200"/>
      </w:pPr>
      <w:r>
        <w:rPr>
          <w:rFonts w:ascii="Arial" w:cs="Arial" w:eastAsia="Arial" w:hAnsi="Arial"/>
          <w:sz w:val="22"/>
          <w:szCs w:val="22"/>
        </w:rPr>
        <w:t xml:space="preserve">The Student Code follows a straightforward, flat architecture where all logic is written inline with minimal abstraction. The MongoDB connection string is hard-coded directly in server.js, and there is no input validation before attempting database operations. Routes lack try/catch blocks, meaning any unexpected runtime error would cause the server to crash or return an unhandled promise rejection. The AI Code, by contrast, loads sensitive configuration through dotenv, wraps every route handler in try/catch blocks, returns appropriate HTTP status codes (201, 400, 401, 409, 500), and validates that required fields are present before processing a request. This layered, defensive approach is what earns it an "Advanced" structure rating.</w:t>
      </w:r>
    </w:p>
    <w:p>
      <w:pPr>
        <w:pStyle w:val="Heading2"/>
      </w:pPr>
      <w:r>
        <w:t xml:space="preserve">Security</w:t>
      </w:r>
    </w:p>
    <w:p>
      <w:pPr>
        <w:spacing w:after="200"/>
      </w:pPr>
      <w:r>
        <w:rPr>
          <w:rFonts w:ascii="Arial" w:cs="Arial" w:eastAsia="Arial" w:hAnsi="Arial"/>
          <w:sz w:val="22"/>
          <w:szCs w:val="22"/>
        </w:rPr>
        <w:t xml:space="preserve">The most critical difference between the two implementations is password storage. The Student Code stores passwords in plain text directly in MongoDB. If the database were ever compromised, every user's password would be immediately exposed. The AI Code uses bcryptjs to generate a salt and produce a hashed password before saving it, and then uses bcrypt.compare() during login rather than a direct database query match. This means that even with full database access, an attacker cannot recover the original passwords. Additionally, the AI Code configures session cookies with httpOnly, sameSite: 'strict', and a maxAge, protecting against cross-site scripting and cross-site request forgery attacks, and it also calls res.clearCookie() on logout to fully invalidate the client-side session.</w:t>
      </w:r>
    </w:p>
    <w:p>
      <w:pPr>
        <w:pStyle w:val="Heading2"/>
      </w:pPr>
      <w:r>
        <w:t xml:space="preserve">Readability and Session Handling</w:t>
      </w:r>
    </w:p>
    <w:p>
      <w:pPr>
        <w:spacing w:after="200"/>
      </w:pPr>
      <w:r>
        <w:rPr>
          <w:rFonts w:ascii="Arial" w:cs="Arial" w:eastAsia="Arial" w:hAnsi="Arial"/>
          <w:sz w:val="22"/>
          <w:szCs w:val="22"/>
        </w:rPr>
        <w:t xml:space="preserve">Both implementations are readable, but for different audiences. The Student Code is rated "Easy" because its flat, linear structure is immediately understandable for beginners with no prior Node.js experience. The AI Code is rated "Medium" because understanding it fully requires familiarity with concepts like asynchronous error propagation, bcrypt salt rounds, HTTP status code semantics, and cookie security flags. Both versions implement session handling using express-session, so both receive a "Yes" rating for that feature. However, the AI Code's session configuration is meaningfully more robust: it explicitly destroys the session with a callback and clears the session cookie on logout, closing a session-fixation vulnerability present in the Student Code's simpler req.session.destroy() call.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4057"/>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B6C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2026-03-06T11:33:15.786Z</dcterms:created>
  <dcterms:modified xsi:type="dcterms:W3CDTF">2026-03-06T11:33:15.787Z</dcterms:modified>
</cp:coreProperties>
</file>

<file path=docProps/custom.xml><?xml version="1.0" encoding="utf-8"?>
<Properties xmlns="http://schemas.openxmlformats.org/officeDocument/2006/custom-properties" xmlns:vt="http://schemas.openxmlformats.org/officeDocument/2006/docPropsVTypes"/>
</file>