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7AB3" w:rsidRDefault="00553BDB" w:rsidP="00553BDB">
      <w:pPr>
        <w:jc w:val="center"/>
        <w:rPr>
          <w:b/>
          <w:sz w:val="28"/>
          <w:szCs w:val="28"/>
        </w:rPr>
      </w:pPr>
      <w:r>
        <w:rPr>
          <w:b/>
          <w:sz w:val="28"/>
          <w:szCs w:val="28"/>
        </w:rPr>
        <w:t>The event-based disease progression model and the ADNI CSF data</w:t>
      </w:r>
    </w:p>
    <w:p w:rsidR="00553BDB" w:rsidRDefault="00553BDB" w:rsidP="00553BDB">
      <w:pPr>
        <w:jc w:val="both"/>
        <w:rPr>
          <w:sz w:val="28"/>
          <w:szCs w:val="28"/>
        </w:rPr>
      </w:pPr>
    </w:p>
    <w:p w:rsidR="00553BDB" w:rsidRPr="00553BDB" w:rsidRDefault="00553BDB" w:rsidP="00553BDB">
      <w:pPr>
        <w:jc w:val="both"/>
        <w:rPr>
          <w:sz w:val="24"/>
          <w:szCs w:val="24"/>
        </w:rPr>
      </w:pPr>
      <w:r w:rsidRPr="00553BDB">
        <w:rPr>
          <w:sz w:val="24"/>
          <w:szCs w:val="24"/>
        </w:rPr>
        <w:t>In this document I’m showing the results of running the EBDP model in its current implementation on the ADNI CSF data. This data first needs some preprocessing, because some of the distributions are skewed. Figure 1 shows the original data in (smoothed) histograms. Green = controls, red = patients.</w:t>
      </w:r>
      <w:r w:rsidR="002E3FDE">
        <w:rPr>
          <w:sz w:val="24"/>
          <w:szCs w:val="24"/>
        </w:rPr>
        <w:t xml:space="preserve"> I’ve excluded all subjects in which only partial data was available.</w:t>
      </w:r>
    </w:p>
    <w:p w:rsidR="00553BDB" w:rsidRDefault="00553BDB" w:rsidP="00553BDB">
      <w:pPr>
        <w:jc w:val="both"/>
        <w:rPr>
          <w:sz w:val="28"/>
          <w:szCs w:val="28"/>
        </w:rPr>
      </w:pPr>
      <w:r>
        <w:rPr>
          <w:noProof/>
          <w:sz w:val="28"/>
          <w:szCs w:val="28"/>
        </w:rPr>
        <w:drawing>
          <wp:inline distT="0" distB="0" distL="0" distR="0">
            <wp:extent cx="6290310" cy="3201607"/>
            <wp:effectExtent l="19050" t="0" r="0" b="0"/>
            <wp:docPr id="2" name="Picture 1" descr="EBDPDistributionsOrig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DPDistributionsOriginal.jpg"/>
                    <pic:cNvPicPr/>
                  </pic:nvPicPr>
                  <pic:blipFill>
                    <a:blip r:embed="rId4" cstate="print"/>
                    <a:stretch>
                      <a:fillRect/>
                    </a:stretch>
                  </pic:blipFill>
                  <pic:spPr>
                    <a:xfrm>
                      <a:off x="0" y="0"/>
                      <a:ext cx="6290310" cy="3201607"/>
                    </a:xfrm>
                    <a:prstGeom prst="rect">
                      <a:avLst/>
                    </a:prstGeom>
                  </pic:spPr>
                </pic:pic>
              </a:graphicData>
            </a:graphic>
          </wp:inline>
        </w:drawing>
      </w:r>
    </w:p>
    <w:p w:rsidR="00553BDB" w:rsidRDefault="00553BDB" w:rsidP="00553BDB">
      <w:pPr>
        <w:jc w:val="both"/>
        <w:rPr>
          <w:i/>
          <w:sz w:val="20"/>
          <w:szCs w:val="20"/>
        </w:rPr>
      </w:pPr>
      <w:proofErr w:type="gramStart"/>
      <w:r>
        <w:rPr>
          <w:i/>
          <w:sz w:val="20"/>
          <w:szCs w:val="20"/>
        </w:rPr>
        <w:t>Figure 1.</w:t>
      </w:r>
      <w:proofErr w:type="gramEnd"/>
    </w:p>
    <w:p w:rsidR="00553BDB" w:rsidRPr="00553BDB" w:rsidRDefault="00553BDB" w:rsidP="00553BDB">
      <w:pPr>
        <w:jc w:val="both"/>
        <w:rPr>
          <w:i/>
          <w:sz w:val="20"/>
          <w:szCs w:val="20"/>
        </w:rPr>
      </w:pPr>
    </w:p>
    <w:p w:rsidR="00553BDB" w:rsidRDefault="00553BDB" w:rsidP="00553BDB">
      <w:pPr>
        <w:jc w:val="both"/>
        <w:rPr>
          <w:sz w:val="24"/>
          <w:szCs w:val="24"/>
        </w:rPr>
      </w:pPr>
      <w:r w:rsidRPr="00553BDB">
        <w:rPr>
          <w:sz w:val="24"/>
          <w:szCs w:val="24"/>
        </w:rPr>
        <w:t xml:space="preserve">Some distributions need to be simply swapped, to make patient values always (on average) lower than control values, which is the convention within the model. On other variables, such as the tau and ptau181p distributions, I’ve also performed a log-transform on. The results of these transformations are shown in </w:t>
      </w:r>
      <w:r>
        <w:rPr>
          <w:sz w:val="24"/>
          <w:szCs w:val="24"/>
        </w:rPr>
        <w:t>figure 2.</w:t>
      </w:r>
    </w:p>
    <w:p w:rsidR="00553BDB" w:rsidRDefault="00553BDB" w:rsidP="00553BDB">
      <w:pPr>
        <w:jc w:val="both"/>
        <w:rPr>
          <w:sz w:val="24"/>
          <w:szCs w:val="24"/>
        </w:rPr>
      </w:pPr>
      <w:r>
        <w:rPr>
          <w:noProof/>
          <w:sz w:val="24"/>
          <w:szCs w:val="24"/>
        </w:rPr>
        <w:lastRenderedPageBreak/>
        <w:drawing>
          <wp:inline distT="0" distB="0" distL="0" distR="0">
            <wp:extent cx="6357582" cy="3276600"/>
            <wp:effectExtent l="19050" t="0" r="5118" b="0"/>
            <wp:docPr id="3" name="Picture 2" descr="EBDPDistribu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DPDistributions.jpg"/>
                    <pic:cNvPicPr/>
                  </pic:nvPicPr>
                  <pic:blipFill>
                    <a:blip r:embed="rId5" cstate="print"/>
                    <a:stretch>
                      <a:fillRect/>
                    </a:stretch>
                  </pic:blipFill>
                  <pic:spPr>
                    <a:xfrm>
                      <a:off x="0" y="0"/>
                      <a:ext cx="6357582" cy="3276600"/>
                    </a:xfrm>
                    <a:prstGeom prst="rect">
                      <a:avLst/>
                    </a:prstGeom>
                  </pic:spPr>
                </pic:pic>
              </a:graphicData>
            </a:graphic>
          </wp:inline>
        </w:drawing>
      </w:r>
    </w:p>
    <w:p w:rsidR="00553BDB" w:rsidRDefault="00553BDB" w:rsidP="00553BDB">
      <w:pPr>
        <w:jc w:val="both"/>
        <w:rPr>
          <w:i/>
          <w:sz w:val="20"/>
          <w:szCs w:val="20"/>
        </w:rPr>
      </w:pPr>
      <w:proofErr w:type="gramStart"/>
      <w:r>
        <w:rPr>
          <w:i/>
          <w:sz w:val="20"/>
          <w:szCs w:val="20"/>
        </w:rPr>
        <w:t>Figure 2.</w:t>
      </w:r>
      <w:proofErr w:type="gramEnd"/>
    </w:p>
    <w:p w:rsidR="00553BDB" w:rsidRDefault="00553BDB" w:rsidP="00553BDB">
      <w:pPr>
        <w:jc w:val="both"/>
        <w:rPr>
          <w:i/>
          <w:sz w:val="20"/>
          <w:szCs w:val="20"/>
        </w:rPr>
      </w:pPr>
    </w:p>
    <w:p w:rsidR="00ED1EE5" w:rsidRDefault="00ED1EE5" w:rsidP="00553BDB">
      <w:pPr>
        <w:jc w:val="both"/>
        <w:rPr>
          <w:sz w:val="24"/>
          <w:szCs w:val="24"/>
        </w:rPr>
      </w:pPr>
      <w:r>
        <w:rPr>
          <w:sz w:val="24"/>
          <w:szCs w:val="24"/>
        </w:rPr>
        <w:t>Figure 2 shows that the CSF distributions show a clear separation between controls and (some of the) patients. This is to be expected as controls are defined based on a CSF marker threshold. The abeta142-distribution shows a perfect example of the distribution we’re looking for. The patients are nicely split into a component that is still within the range of control values and a well-separated component which corresponds to affected patients.</w:t>
      </w:r>
    </w:p>
    <w:p w:rsidR="00ED1EE5" w:rsidRPr="002E3FDE" w:rsidRDefault="001E7C33" w:rsidP="00553BDB">
      <w:pPr>
        <w:jc w:val="both"/>
        <w:rPr>
          <w:sz w:val="24"/>
          <w:szCs w:val="24"/>
        </w:rPr>
      </w:pPr>
      <w:r>
        <w:rPr>
          <w:sz w:val="24"/>
          <w:szCs w:val="24"/>
        </w:rPr>
        <w:t xml:space="preserve">I’ve applied the EBDP model to a selection of these variables. </w:t>
      </w:r>
      <w:r w:rsidR="00ED1EE5">
        <w:rPr>
          <w:sz w:val="24"/>
          <w:szCs w:val="24"/>
        </w:rPr>
        <w:t>I’ve only included the last three volumetric values, as their distributions show more separation. I’ve also only included the ADAS cognitive score and not the MMSE score, because the MMSE score is discrete, which makes fitting continuous distributions to it suspicious.  Figure 3 shows the positional variance of all regions.</w:t>
      </w:r>
      <w:r w:rsidR="002E3FDE">
        <w:rPr>
          <w:sz w:val="24"/>
          <w:szCs w:val="24"/>
        </w:rPr>
        <w:t xml:space="preserve"> This shows the most likely event sequence on the vertical axis and a histogram of the event positions during the MCMC chain.  There is very little positional variance. This is probably due to the fact that our model does not model true population variance in event sequences. This diagram shows that we have a high confidence in the estimate of the event sequence, </w:t>
      </w:r>
      <w:r w:rsidR="002E3FDE">
        <w:rPr>
          <w:i/>
          <w:sz w:val="24"/>
          <w:szCs w:val="24"/>
        </w:rPr>
        <w:t>if there would be no variance of this sequence over the population</w:t>
      </w:r>
      <w:r w:rsidR="002E3FDE">
        <w:rPr>
          <w:sz w:val="24"/>
          <w:szCs w:val="24"/>
        </w:rPr>
        <w:t xml:space="preserve">. In a next iteration of the model, such population variance should obviously be included. Several interesting features are: the ordering of the CSF markers (tau last of the CSF markers, does this make sense), the position of the behavioral ‘event’ in the middle of CSF markers and imaging markers and the early involvement of </w:t>
      </w:r>
      <w:proofErr w:type="spellStart"/>
      <w:r w:rsidR="002E3FDE">
        <w:rPr>
          <w:sz w:val="24"/>
          <w:szCs w:val="24"/>
        </w:rPr>
        <w:t>hippocampal</w:t>
      </w:r>
      <w:proofErr w:type="spellEnd"/>
      <w:r w:rsidR="002E3FDE">
        <w:rPr>
          <w:sz w:val="24"/>
          <w:szCs w:val="24"/>
        </w:rPr>
        <w:t xml:space="preserve"> atrophy relative to ventral and whole brain atrophy. </w:t>
      </w:r>
    </w:p>
    <w:p w:rsidR="00ED1EE5" w:rsidRDefault="00ED1EE5" w:rsidP="00ED1EE5">
      <w:pPr>
        <w:jc w:val="center"/>
        <w:rPr>
          <w:sz w:val="24"/>
          <w:szCs w:val="24"/>
        </w:rPr>
      </w:pPr>
      <w:r>
        <w:rPr>
          <w:noProof/>
          <w:sz w:val="24"/>
          <w:szCs w:val="24"/>
        </w:rPr>
        <w:lastRenderedPageBreak/>
        <w:drawing>
          <wp:inline distT="0" distB="0" distL="0" distR="0">
            <wp:extent cx="4044950" cy="3033713"/>
            <wp:effectExtent l="19050" t="0" r="0" b="0"/>
            <wp:docPr id="4" name="Picture 3" descr="EBDPResul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DPResults.jpg"/>
                    <pic:cNvPicPr/>
                  </pic:nvPicPr>
                  <pic:blipFill>
                    <a:blip r:embed="rId6" cstate="print"/>
                    <a:stretch>
                      <a:fillRect/>
                    </a:stretch>
                  </pic:blipFill>
                  <pic:spPr>
                    <a:xfrm>
                      <a:off x="0" y="0"/>
                      <a:ext cx="4044950" cy="3033713"/>
                    </a:xfrm>
                    <a:prstGeom prst="rect">
                      <a:avLst/>
                    </a:prstGeom>
                  </pic:spPr>
                </pic:pic>
              </a:graphicData>
            </a:graphic>
          </wp:inline>
        </w:drawing>
      </w:r>
    </w:p>
    <w:p w:rsidR="002E3FDE" w:rsidRDefault="002E3FDE" w:rsidP="002E3FDE">
      <w:pPr>
        <w:jc w:val="both"/>
        <w:rPr>
          <w:sz w:val="24"/>
          <w:szCs w:val="24"/>
        </w:rPr>
      </w:pPr>
      <w:r>
        <w:rPr>
          <w:sz w:val="24"/>
          <w:szCs w:val="24"/>
        </w:rPr>
        <w:t xml:space="preserve">The current model (which we have used for the </w:t>
      </w:r>
      <w:proofErr w:type="spellStart"/>
      <w:r>
        <w:rPr>
          <w:sz w:val="24"/>
          <w:szCs w:val="24"/>
        </w:rPr>
        <w:t>fAD</w:t>
      </w:r>
      <w:proofErr w:type="spellEnd"/>
      <w:r>
        <w:rPr>
          <w:sz w:val="24"/>
          <w:szCs w:val="24"/>
        </w:rPr>
        <w:t xml:space="preserve">/HD manuscript that we are submitting right now) makes use of a very crude model for controls (1 Gaussian component) and patients (a uniform component). Because in the ADNI data set, there are many more subjects available, a mixture of Gaussians might make more sense. This doesn’t affect the results at all, except for the fact that the </w:t>
      </w:r>
      <w:proofErr w:type="spellStart"/>
      <w:r>
        <w:rPr>
          <w:sz w:val="24"/>
          <w:szCs w:val="24"/>
        </w:rPr>
        <w:t>hippocampal</w:t>
      </w:r>
      <w:proofErr w:type="spellEnd"/>
      <w:r>
        <w:rPr>
          <w:sz w:val="24"/>
          <w:szCs w:val="24"/>
        </w:rPr>
        <w:t xml:space="preserve"> atrophy comes last in this event sequence. I’m not sure why that would happen.</w:t>
      </w:r>
    </w:p>
    <w:p w:rsidR="002E3FDE" w:rsidRDefault="002E3FDE" w:rsidP="002E3FDE">
      <w:pPr>
        <w:jc w:val="both"/>
        <w:rPr>
          <w:sz w:val="24"/>
          <w:szCs w:val="24"/>
        </w:rPr>
      </w:pPr>
      <w:r>
        <w:rPr>
          <w:sz w:val="24"/>
          <w:szCs w:val="24"/>
        </w:rPr>
        <w:t xml:space="preserve">Figure 4 shows a scatter plot of tau values against abeta142 values. This might serve as an extra validation for the notion that abeta142 </w:t>
      </w:r>
      <w:proofErr w:type="spellStart"/>
      <w:r>
        <w:rPr>
          <w:sz w:val="24"/>
          <w:szCs w:val="24"/>
        </w:rPr>
        <w:t>preceeds</w:t>
      </w:r>
      <w:proofErr w:type="spellEnd"/>
      <w:r>
        <w:rPr>
          <w:sz w:val="24"/>
          <w:szCs w:val="24"/>
        </w:rPr>
        <w:t xml:space="preserve"> tau in developing abnormal values. Again, green = controls, red = patients. The black circle roughly indicates the controls ‘area’. </w:t>
      </w:r>
      <w:r w:rsidR="00922D6C">
        <w:rPr>
          <w:sz w:val="24"/>
          <w:szCs w:val="24"/>
        </w:rPr>
        <w:t xml:space="preserve">There are clearly more patients whose tau value is normal, but whose abeta142 value is abnormal (blue circle), than vice versa (yellow). </w:t>
      </w:r>
    </w:p>
    <w:p w:rsidR="002E3FDE" w:rsidRDefault="002E3FDE" w:rsidP="002E3FDE">
      <w:pPr>
        <w:jc w:val="both"/>
        <w:rPr>
          <w:sz w:val="24"/>
          <w:szCs w:val="24"/>
        </w:rPr>
      </w:pPr>
    </w:p>
    <w:p w:rsidR="002E3FDE" w:rsidRDefault="00922D6C" w:rsidP="002E3FDE">
      <w:pPr>
        <w:jc w:val="both"/>
        <w:rPr>
          <w:sz w:val="24"/>
          <w:szCs w:val="24"/>
        </w:rPr>
      </w:pPr>
      <w:r>
        <w:rPr>
          <w:sz w:val="24"/>
          <w:szCs w:val="24"/>
        </w:rPr>
        <w:t>In conclusion, these preliminary results show that this model might work (if the CSF result makes sense that is) but also that some more developments need to happen before firmer we can draw firmer conclusions.</w:t>
      </w:r>
    </w:p>
    <w:p w:rsidR="002E3FDE" w:rsidRDefault="002E3FDE" w:rsidP="002E3FDE">
      <w:pPr>
        <w:jc w:val="both"/>
        <w:rPr>
          <w:sz w:val="24"/>
          <w:szCs w:val="24"/>
        </w:rPr>
      </w:pPr>
    </w:p>
    <w:p w:rsidR="002E3FDE" w:rsidRDefault="002E3FDE" w:rsidP="002E3FDE">
      <w:pPr>
        <w:jc w:val="both"/>
        <w:rPr>
          <w:sz w:val="24"/>
          <w:szCs w:val="24"/>
        </w:rPr>
      </w:pPr>
    </w:p>
    <w:p w:rsidR="002E3FDE" w:rsidRDefault="002E3FDE" w:rsidP="002E3FDE">
      <w:pPr>
        <w:jc w:val="both"/>
        <w:rPr>
          <w:sz w:val="24"/>
          <w:szCs w:val="24"/>
        </w:rPr>
      </w:pPr>
    </w:p>
    <w:p w:rsidR="002E3FDE" w:rsidRDefault="002E3FDE" w:rsidP="002E3FDE">
      <w:pPr>
        <w:jc w:val="both"/>
        <w:rPr>
          <w:sz w:val="24"/>
          <w:szCs w:val="24"/>
        </w:rPr>
      </w:pPr>
    </w:p>
    <w:p w:rsidR="002E3FDE" w:rsidRDefault="002E3FDE" w:rsidP="002E3FDE">
      <w:pPr>
        <w:jc w:val="both"/>
        <w:rPr>
          <w:sz w:val="24"/>
          <w:szCs w:val="24"/>
        </w:rPr>
      </w:pPr>
    </w:p>
    <w:p w:rsidR="002E3FDE" w:rsidRDefault="002E3FDE" w:rsidP="002E3FDE">
      <w:pPr>
        <w:jc w:val="both"/>
        <w:rPr>
          <w:sz w:val="24"/>
          <w:szCs w:val="24"/>
        </w:rPr>
      </w:pPr>
    </w:p>
    <w:p w:rsidR="002E3FDE" w:rsidRDefault="002E3FDE" w:rsidP="002E3FDE">
      <w:pPr>
        <w:jc w:val="both"/>
        <w:rPr>
          <w:sz w:val="24"/>
          <w:szCs w:val="24"/>
        </w:rPr>
      </w:pPr>
      <w:r>
        <w:rPr>
          <w:noProof/>
          <w:sz w:val="24"/>
          <w:szCs w:val="24"/>
        </w:rPr>
        <w:drawing>
          <wp:inline distT="0" distB="0" distL="0" distR="0">
            <wp:extent cx="5715000" cy="4133850"/>
            <wp:effectExtent l="19050" t="0" r="0" b="0"/>
            <wp:docPr id="5" name="Picture 4" descr="EBDPIllustrationScat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DPIllustrationScatter.jpg"/>
                    <pic:cNvPicPr/>
                  </pic:nvPicPr>
                  <pic:blipFill>
                    <a:blip r:embed="rId7" cstate="print"/>
                    <a:stretch>
                      <a:fillRect/>
                    </a:stretch>
                  </pic:blipFill>
                  <pic:spPr>
                    <a:xfrm>
                      <a:off x="0" y="0"/>
                      <a:ext cx="5715000" cy="4133850"/>
                    </a:xfrm>
                    <a:prstGeom prst="rect">
                      <a:avLst/>
                    </a:prstGeom>
                  </pic:spPr>
                </pic:pic>
              </a:graphicData>
            </a:graphic>
          </wp:inline>
        </w:drawing>
      </w:r>
    </w:p>
    <w:p w:rsidR="002E3FDE" w:rsidRPr="00553BDB" w:rsidRDefault="002E3FDE" w:rsidP="00ED1EE5">
      <w:pPr>
        <w:jc w:val="center"/>
        <w:rPr>
          <w:sz w:val="24"/>
          <w:szCs w:val="24"/>
        </w:rPr>
      </w:pPr>
    </w:p>
    <w:sectPr w:rsidR="002E3FDE" w:rsidRPr="00553BDB" w:rsidSect="00A1684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20"/>
  <w:characterSpacingControl w:val="doNotCompress"/>
  <w:compat>
    <w:useFELayout/>
  </w:compat>
  <w:rsids>
    <w:rsidRoot w:val="00553BDB"/>
    <w:rsid w:val="000C5691"/>
    <w:rsid w:val="001E7C33"/>
    <w:rsid w:val="002E3FDE"/>
    <w:rsid w:val="00553BDB"/>
    <w:rsid w:val="00711C6C"/>
    <w:rsid w:val="00922D6C"/>
    <w:rsid w:val="00A16847"/>
    <w:rsid w:val="00ED1EE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684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3B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BD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4</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Donders Institute</Company>
  <LinksUpToDate>false</LinksUpToDate>
  <CharactersWithSpaces>3553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hubfon</dc:creator>
  <cp:lastModifiedBy>hubfon</cp:lastModifiedBy>
  <cp:revision>1</cp:revision>
  <dcterms:created xsi:type="dcterms:W3CDTF">2011-05-26T13:01:00Z</dcterms:created>
  <dcterms:modified xsi:type="dcterms:W3CDTF">2011-05-26T13:47:00Z</dcterms:modified>
</cp:coreProperties>
</file>