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40" w:line="320" w:lineRule="auto"/>
      </w:pPr>
      <w:r>
        <w:rPr>
          <w:rFonts w:ascii="Calibri" w:hAnsi="Calibri"/>
          <w:b w:val="0"/>
          <w:i w:val="0"/>
          <w:color w:val="111827"/>
          <w:sz w:val="22"/>
        </w:rPr>
      </w:r>
    </w:p>
    <w:p>
      <w:pPr>
        <w:spacing w:before="0" w:after="360" w:line="320" w:lineRule="auto"/>
        <w:jc w:val="center"/>
      </w:pPr>
      <w:r>
        <w:rPr>
          <w:rFonts w:ascii="Calibri" w:hAnsi="Calibri"/>
          <w:b/>
          <w:i w:val="0"/>
          <w:color w:val="B18A34"/>
          <w:sz w:val="22"/>
        </w:rPr>
        <w:t>COMPREHENSIVE TECHNICAL WHITE PAPER</w:t>
      </w:r>
    </w:p>
    <w:p>
      <w:pPr>
        <w:spacing w:after="200"/>
        <w:jc w:val="center"/>
      </w:pPr>
      <w:r>
        <w:rPr>
          <w:rFonts w:ascii="Calibri" w:hAnsi="Calibri"/>
          <w:b/>
          <w:color w:val="203748"/>
          <w:sz w:val="60"/>
        </w:rPr>
        <w:t>Automated ILI-to-FEA</w:t>
      </w:r>
    </w:p>
    <w:p>
      <w:pPr>
        <w:spacing w:before="0" w:after="480" w:line="320" w:lineRule="auto"/>
        <w:jc w:val="center"/>
      </w:pPr>
      <w:r>
        <w:rPr>
          <w:rFonts w:ascii="Calibri" w:hAnsi="Calibri"/>
          <w:b w:val="0"/>
          <w:i w:val="0"/>
          <w:color w:val="1F4D78"/>
          <w:sz w:val="22"/>
        </w:rPr>
        <w:t>Equations, reconstruction workflow, mesh logic, validation evidence, uncertainty, and governance</w:t>
      </w:r>
    </w:p>
    <w:p>
      <w:pPr>
        <w:spacing w:before="0" w:after="1680" w:line="320" w:lineRule="auto"/>
        <w:jc w:val="center"/>
      </w:pPr>
      <w:r>
        <w:rPr>
          <w:rFonts w:ascii="Calibri" w:hAnsi="Calibri"/>
          <w:b w:val="0"/>
          <w:i/>
          <w:color w:val="B18A34"/>
          <w:sz w:val="22"/>
        </w:rPr>
        <w:t>Current implementation documented against published pipeline-integrity literature</w:t>
      </w:r>
    </w:p>
    <w:p>
      <w:pPr>
        <w:spacing w:before="0" w:after="100" w:line="320" w:lineRule="auto"/>
        <w:jc w:val="center"/>
      </w:pPr>
      <w:r>
        <w:rPr>
          <w:rFonts w:ascii="Calibri" w:hAnsi="Calibri"/>
          <w:b/>
          <w:i w:val="0"/>
          <w:color w:val="203748"/>
          <w:sz w:val="22"/>
        </w:rPr>
        <w:t>Prepared for the Pipeline Engineering Assessment Software</w:t>
      </w:r>
    </w:p>
    <w:p>
      <w:pPr>
        <w:spacing w:before="0" w:after="0" w:line="320" w:lineRule="auto"/>
        <w:jc w:val="center"/>
      </w:pPr>
      <w:r>
        <w:rPr>
          <w:rFonts w:ascii="Calibri" w:hAnsi="Calibri"/>
          <w:b w:val="0"/>
          <w:i w:val="0"/>
          <w:color w:val="6B7280"/>
          <w:sz w:val="22"/>
        </w:rPr>
        <w:t>Version 2.0 | June 11, 2026</w:t>
      </w:r>
    </w:p>
    <w:p>
      <w:r>
        <w:br w:type="page"/>
      </w:r>
    </w:p>
    <w:p>
      <w:pPr>
        <w:pStyle w:val="Heading1"/>
        <w:keepNext/>
      </w:pPr>
      <w:r>
        <w:t>Executive Summary</w:t>
      </w:r>
    </w:p>
    <w:p>
      <w:pPr>
        <w:spacing w:before="0" w:after="160" w:line="320" w:lineRule="auto"/>
      </w:pPr>
      <w:r>
        <w:rPr>
          <w:rFonts w:ascii="Calibri" w:hAnsi="Calibri"/>
          <w:b w:val="0"/>
          <w:i w:val="0"/>
          <w:color w:val="111827"/>
          <w:sz w:val="22"/>
        </w:rPr>
        <w:t>This white paper documents the complete calculation path currently implemented in the Automated ILI-to-FEA module. It includes raw equations, all model variables, geometry-reconstruction rules, adaptive mesh logic, deterministic capacity and fatigue calculations, ANN/DNN propagation, reliability integration, validation evidence, and explicit limitations.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5F3"/>
          </w:tcPr>
          <w:p>
            <w:pPr>
              <w:spacing w:after="0"/>
            </w:pPr>
            <w:r>
              <w:rPr>
                <w:rFonts w:ascii="Calibri" w:hAnsi="Calibri"/>
                <w:b/>
                <w:color w:val="0B7A75"/>
                <w:sz w:val="21"/>
              </w:rPr>
              <w:t xml:space="preserve">Critical distinction: </w:t>
            </w:r>
            <w:r>
              <w:rPr>
                <w:rFonts w:ascii="Calibri" w:hAnsi="Calibri"/>
                <w:color w:val="111827"/>
                <w:sz w:val="21"/>
              </w:rPr>
              <w:t>The browser creates a model-ready three-dimensional shell representation from ILI measurements, but it does not execute a commercial nonlinear finite-element solver. Capacity and risk outputs are produced by the equations documented here. The representation is therefore a geometry and meshing reference, not a solved stress/strain contour.</w:t>
            </w:r>
          </w:p>
        </w:tc>
      </w:tr>
    </w:tbl>
    <w:p>
      <w:pPr>
        <w:spacing w:after="20"/>
      </w:pPr>
    </w:p>
    <w:p>
      <w:pPr>
        <w:pStyle w:val="Heading2"/>
        <w:keepNext/>
      </w:pPr>
      <w:r>
        <w:t>Current Sample Output</w:t>
      </w:r>
    </w:p>
    <w:tbl>
      <w:tblPr>
        <w:tblStyle w:val="TableGrid"/>
        <w:tblW w:type="dxa" w:w="9360"/>
        <w:jc w:val="left"/>
        <w:tblLayout w:type="fixed"/>
        <w:tblLook w:firstColumn="1" w:firstRow="1" w:lastColumn="0" w:lastRow="0" w:noHBand="0" w:noVBand="1" w:val="04A0"/>
        <w:tblInd w:w="120" w:type="dxa"/>
      </w:tblPr>
      <w:tblGrid>
        <w:gridCol w:w="2200"/>
        <w:gridCol w:w="2650"/>
        <w:gridCol w:w="4510"/>
      </w:tblGrid>
      <w:tr>
        <w:trPr>
          <w:tblHeader w:val="true"/>
        </w:trPr>
        <w:tc>
          <w:tcPr>
            <w:tcW w:type="dxa" w:w="2200"/>
            <w:tcMar>
              <w:top w:w="80" w:type="dxa"/>
              <w:start w:w="120" w:type="dxa"/>
              <w:bottom w:w="80" w:type="dxa"/>
              <w:end w:w="120" w:type="dxa"/>
            </w:tcMar>
            <w:vAlign w:val="center"/>
            <w:shd w:fill="F4F6F9"/>
          </w:tcPr>
          <w:p>
            <w:pPr>
              <w:spacing w:after="0"/>
              <w:jc w:val="center"/>
            </w:pPr>
            <w:r>
              <w:rPr>
                <w:rFonts w:ascii="Calibri" w:hAnsi="Calibri"/>
                <w:b/>
                <w:color w:val="1F4D78"/>
                <w:sz w:val="18"/>
              </w:rPr>
              <w:t>Output</w:t>
            </w:r>
          </w:p>
        </w:tc>
        <w:tc>
          <w:tcPr>
            <w:tcW w:type="dxa" w:w="2650"/>
            <w:tcMar>
              <w:top w:w="80" w:type="dxa"/>
              <w:start w:w="120" w:type="dxa"/>
              <w:bottom w:w="80" w:type="dxa"/>
              <w:end w:w="120" w:type="dxa"/>
            </w:tcMar>
            <w:vAlign w:val="center"/>
            <w:shd w:fill="F4F6F9"/>
          </w:tcPr>
          <w:p>
            <w:pPr>
              <w:spacing w:after="0"/>
              <w:jc w:val="center"/>
            </w:pPr>
            <w:r>
              <w:rPr>
                <w:rFonts w:ascii="Calibri" w:hAnsi="Calibri"/>
                <w:b/>
                <w:color w:val="1F4D78"/>
                <w:sz w:val="18"/>
              </w:rPr>
              <w:t>Current sample result</w:t>
            </w:r>
          </w:p>
        </w:tc>
        <w:tc>
          <w:tcPr>
            <w:tcW w:type="dxa" w:w="4510"/>
            <w:tcMar>
              <w:top w:w="80" w:type="dxa"/>
              <w:start w:w="120" w:type="dxa"/>
              <w:bottom w:w="80" w:type="dxa"/>
              <w:end w:w="120" w:type="dxa"/>
            </w:tcMar>
            <w:vAlign w:val="center"/>
            <w:shd w:fill="F4F6F9"/>
          </w:tcPr>
          <w:p>
            <w:pPr>
              <w:spacing w:after="0"/>
              <w:jc w:val="center"/>
            </w:pPr>
            <w:r>
              <w:rPr>
                <w:rFonts w:ascii="Calibri" w:hAnsi="Calibri"/>
                <w:b/>
                <w:color w:val="1F4D78"/>
                <w:sz w:val="18"/>
              </w:rPr>
              <w:t>Interpretation</w:t>
            </w:r>
          </w:p>
        </w:tc>
      </w:tr>
      <w:tr>
        <w:tc>
          <w:tcPr>
            <w:tcW w:type="dxa" w:w="2200"/>
          </w:tcPr>
          <w:p>
            <w:pPr>
              <w:spacing w:after="0"/>
              <w:jc w:val="center"/>
            </w:pPr>
            <w:r>
              <w:rPr>
                <w:rFonts w:ascii="Calibri" w:hAnsi="Calibri"/>
                <w:color w:val="111827"/>
                <w:sz w:val="18"/>
              </w:rPr>
              <w:t>Translated features</w:t>
            </w:r>
          </w:p>
        </w:tc>
        <w:tc>
          <w:tcPr>
            <w:tcW w:type="dxa" w:w="2650"/>
          </w:tcPr>
          <w:p>
            <w:pPr>
              <w:spacing w:after="0"/>
              <w:jc w:val="center"/>
            </w:pPr>
            <w:r>
              <w:rPr>
                <w:rFonts w:ascii="Calibri" w:hAnsi="Calibri"/>
                <w:color w:val="111827"/>
                <w:sz w:val="18"/>
              </w:rPr>
              <w:t>4</w:t>
            </w:r>
          </w:p>
        </w:tc>
        <w:tc>
          <w:tcPr>
            <w:tcW w:type="dxa" w:w="4510"/>
          </w:tcPr>
          <w:p>
            <w:pPr>
              <w:spacing w:after="0"/>
              <w:jc w:val="left"/>
            </w:pPr>
            <w:r>
              <w:rPr>
                <w:rFonts w:ascii="Calibri" w:hAnsi="Calibri"/>
                <w:color w:val="111827"/>
                <w:sz w:val="18"/>
              </w:rPr>
              <w:t>Two metal-loss features, one crack, and one dent.</w:t>
            </w:r>
          </w:p>
        </w:tc>
      </w:tr>
      <w:tr>
        <w:tc>
          <w:tcPr>
            <w:tcW w:type="dxa" w:w="2200"/>
          </w:tcPr>
          <w:p>
            <w:pPr>
              <w:spacing w:after="0"/>
              <w:jc w:val="center"/>
            </w:pPr>
            <w:r>
              <w:rPr>
                <w:rFonts w:ascii="Calibri" w:hAnsi="Calibri"/>
                <w:color w:val="111827"/>
                <w:sz w:val="18"/>
              </w:rPr>
              <w:t>Interaction models</w:t>
            </w:r>
          </w:p>
        </w:tc>
        <w:tc>
          <w:tcPr>
            <w:tcW w:type="dxa" w:w="2650"/>
          </w:tcPr>
          <w:p>
            <w:pPr>
              <w:spacing w:after="0"/>
              <w:jc w:val="center"/>
            </w:pPr>
            <w:r>
              <w:rPr>
                <w:rFonts w:ascii="Calibri" w:hAnsi="Calibri"/>
                <w:color w:val="111827"/>
                <w:sz w:val="18"/>
              </w:rPr>
              <w:t>1</w:t>
            </w:r>
          </w:p>
        </w:tc>
        <w:tc>
          <w:tcPr>
            <w:tcW w:type="dxa" w:w="4510"/>
          </w:tcPr>
          <w:p>
            <w:pPr>
              <w:spacing w:after="0"/>
              <w:jc w:val="left"/>
            </w:pPr>
            <w:r>
              <w:rPr>
                <w:rFonts w:ascii="Calibri" w:hAnsi="Calibri"/>
                <w:color w:val="111827"/>
                <w:sz w:val="18"/>
              </w:rPr>
              <w:t>Pairs created within the selected edge-spacing limit.</w:t>
            </w:r>
          </w:p>
        </w:tc>
      </w:tr>
      <w:tr>
        <w:tc>
          <w:tcPr>
            <w:tcW w:type="dxa" w:w="2200"/>
          </w:tcPr>
          <w:p>
            <w:pPr>
              <w:spacing w:after="0"/>
              <w:jc w:val="center"/>
            </w:pPr>
            <w:r>
              <w:rPr>
                <w:rFonts w:ascii="Calibri" w:hAnsi="Calibri"/>
                <w:color w:val="111827"/>
                <w:sz w:val="18"/>
              </w:rPr>
              <w:t>Governing MOP</w:t>
            </w:r>
          </w:p>
        </w:tc>
        <w:tc>
          <w:tcPr>
            <w:tcW w:type="dxa" w:w="2650"/>
          </w:tcPr>
          <w:p>
            <w:pPr>
              <w:spacing w:after="0"/>
              <w:jc w:val="center"/>
            </w:pPr>
            <w:r>
              <w:rPr>
                <w:rFonts w:ascii="Calibri" w:hAnsi="Calibri"/>
                <w:color w:val="111827"/>
                <w:sz w:val="18"/>
              </w:rPr>
              <w:t>4.460 MPa</w:t>
            </w:r>
          </w:p>
        </w:tc>
        <w:tc>
          <w:tcPr>
            <w:tcW w:type="dxa" w:w="4510"/>
          </w:tcPr>
          <w:p>
            <w:pPr>
              <w:spacing w:after="0"/>
              <w:jc w:val="left"/>
            </w:pPr>
            <w:r>
              <w:rPr>
                <w:rFonts w:ascii="Calibri" w:hAnsi="Calibri"/>
                <w:color w:val="111827"/>
                <w:sz w:val="18"/>
              </w:rPr>
              <w:t>Governed by F-104.</w:t>
            </w:r>
          </w:p>
        </w:tc>
      </w:tr>
      <w:tr>
        <w:tc>
          <w:tcPr>
            <w:tcW w:type="dxa" w:w="2200"/>
          </w:tcPr>
          <w:p>
            <w:pPr>
              <w:spacing w:after="0"/>
              <w:jc w:val="center"/>
            </w:pPr>
            <w:r>
              <w:rPr>
                <w:rFonts w:ascii="Calibri" w:hAnsi="Calibri"/>
                <w:color w:val="111827"/>
                <w:sz w:val="18"/>
              </w:rPr>
              <w:t>Mesh estimate</w:t>
            </w:r>
          </w:p>
        </w:tc>
        <w:tc>
          <w:tcPr>
            <w:tcW w:type="dxa" w:w="2650"/>
          </w:tcPr>
          <w:p>
            <w:pPr>
              <w:spacing w:after="0"/>
              <w:jc w:val="center"/>
            </w:pPr>
            <w:r>
              <w:rPr>
                <w:rFonts w:ascii="Calibri" w:hAnsi="Calibri"/>
                <w:color w:val="111827"/>
                <w:sz w:val="18"/>
              </w:rPr>
              <w:t>1,904 nodes / 3,510 elements</w:t>
            </w:r>
          </w:p>
        </w:tc>
        <w:tc>
          <w:tcPr>
            <w:tcW w:type="dxa" w:w="4510"/>
          </w:tcPr>
          <w:p>
            <w:pPr>
              <w:spacing w:after="0"/>
              <w:jc w:val="left"/>
            </w:pPr>
            <w:r>
              <w:rPr>
                <w:rFonts w:ascii="Calibri" w:hAnsi="Calibri"/>
                <w:color w:val="111827"/>
                <w:sz w:val="18"/>
              </w:rPr>
              <w:t>Model-preparation estimate, not a solver mesh file.</w:t>
            </w:r>
          </w:p>
        </w:tc>
      </w:tr>
      <w:tr>
        <w:tc>
          <w:tcPr>
            <w:tcW w:type="dxa" w:w="2200"/>
          </w:tcPr>
          <w:p>
            <w:pPr>
              <w:spacing w:after="0"/>
              <w:jc w:val="center"/>
            </w:pPr>
            <w:r>
              <w:rPr>
                <w:rFonts w:ascii="Calibri" w:hAnsi="Calibri"/>
                <w:color w:val="111827"/>
                <w:sz w:val="18"/>
              </w:rPr>
              <w:t>Local surface density</w:t>
            </w:r>
          </w:p>
        </w:tc>
        <w:tc>
          <w:tcPr>
            <w:tcW w:type="dxa" w:w="2650"/>
          </w:tcPr>
          <w:p>
            <w:pPr>
              <w:spacing w:after="0"/>
              <w:jc w:val="center"/>
            </w:pPr>
            <w:r>
              <w:rPr>
                <w:rFonts w:ascii="Calibri" w:hAnsi="Calibri"/>
                <w:color w:val="111827"/>
                <w:sz w:val="18"/>
              </w:rPr>
              <w:t>16x remote</w:t>
            </w:r>
          </w:p>
        </w:tc>
        <w:tc>
          <w:tcPr>
            <w:tcW w:type="dxa" w:w="4510"/>
          </w:tcPr>
          <w:p>
            <w:pPr>
              <w:spacing w:after="0"/>
              <w:jc w:val="left"/>
            </w:pPr>
            <w:r>
              <w:rPr>
                <w:rFonts w:ascii="Calibri" w:hAnsi="Calibri"/>
                <w:color w:val="111827"/>
                <w:sz w:val="18"/>
              </w:rPr>
              <w:t>Standard 4 x 4 local subdivision gives 16 surface cells per remote cell.</w:t>
            </w:r>
          </w:p>
        </w:tc>
      </w:tr>
      <w:tr>
        <w:tc>
          <w:tcPr>
            <w:tcW w:type="dxa" w:w="2200"/>
          </w:tcPr>
          <w:p>
            <w:pPr>
              <w:spacing w:after="0"/>
              <w:jc w:val="center"/>
            </w:pPr>
            <w:r>
              <w:rPr>
                <w:rFonts w:ascii="Calibri" w:hAnsi="Calibri"/>
                <w:color w:val="111827"/>
                <w:sz w:val="18"/>
              </w:rPr>
              <w:t>Crack voids</w:t>
            </w:r>
          </w:p>
        </w:tc>
        <w:tc>
          <w:tcPr>
            <w:tcW w:type="dxa" w:w="2650"/>
          </w:tcPr>
          <w:p>
            <w:pPr>
              <w:spacing w:after="0"/>
              <w:jc w:val="center"/>
            </w:pPr>
            <w:r>
              <w:rPr>
                <w:rFonts w:ascii="Calibri" w:hAnsi="Calibri"/>
                <w:color w:val="111827"/>
                <w:sz w:val="18"/>
              </w:rPr>
              <w:t>12 removed elements</w:t>
            </w:r>
          </w:p>
        </w:tc>
        <w:tc>
          <w:tcPr>
            <w:tcW w:type="dxa" w:w="4510"/>
          </w:tcPr>
          <w:p>
            <w:pPr>
              <w:spacing w:after="0"/>
              <w:jc w:val="left"/>
            </w:pPr>
            <w:r>
              <w:rPr>
                <w:rFonts w:ascii="Calibri" w:hAnsi="Calibri"/>
                <w:color w:val="111827"/>
                <w:sz w:val="18"/>
              </w:rPr>
              <w:t>Renderer removes triangles intersecting crack paths.</w:t>
            </w:r>
          </w:p>
        </w:tc>
      </w:tr>
      <w:tr>
        <w:tc>
          <w:tcPr>
            <w:tcW w:type="dxa" w:w="2200"/>
          </w:tcPr>
          <w:p>
            <w:pPr>
              <w:spacing w:after="0"/>
              <w:jc w:val="center"/>
            </w:pPr>
            <w:r>
              <w:rPr>
                <w:rFonts w:ascii="Calibri" w:hAnsi="Calibri"/>
                <w:color w:val="111827"/>
                <w:sz w:val="18"/>
              </w:rPr>
              <w:t>Reliability</w:t>
            </w:r>
          </w:p>
        </w:tc>
        <w:tc>
          <w:tcPr>
            <w:tcW w:type="dxa" w:w="2650"/>
          </w:tcPr>
          <w:p>
            <w:pPr>
              <w:spacing w:after="0"/>
              <w:jc w:val="center"/>
            </w:pPr>
            <w:r>
              <w:rPr>
                <w:rFonts w:ascii="Calibri" w:hAnsi="Calibri"/>
                <w:color w:val="111827"/>
                <w:sz w:val="18"/>
              </w:rPr>
              <w:t>Pf=0.98320; beta=-2.120</w:t>
            </w:r>
          </w:p>
        </w:tc>
        <w:tc>
          <w:tcPr>
            <w:tcW w:type="dxa" w:w="4510"/>
          </w:tcPr>
          <w:p>
            <w:pPr>
              <w:spacing w:after="0"/>
              <w:jc w:val="left"/>
            </w:pPr>
            <w:r>
              <w:rPr>
                <w:rFonts w:ascii="Calibri" w:hAnsi="Calibri"/>
                <w:color w:val="111827"/>
                <w:sz w:val="18"/>
              </w:rPr>
              <w:t>Advisory Monte Carlo result for the controlling corrosion surrogate.</w:t>
            </w:r>
          </w:p>
        </w:tc>
      </w:tr>
    </w:tbl>
    <w:p>
      <w:pPr>
        <w:spacing w:after="40"/>
      </w:pPr>
    </w:p>
    <w:p>
      <w:pPr>
        <w:pStyle w:val="Heading2"/>
        <w:keepNext/>
      </w:pPr>
      <w:r>
        <w:t>Document Map</w:t>
      </w:r>
    </w:p>
    <w:p>
      <w:pPr>
        <w:pStyle w:val="ListBullet"/>
        <w:spacing w:after="80" w:line="290" w:lineRule="auto"/>
        <w:ind w:left="540" w:hanging="279"/>
      </w:pPr>
      <w:r>
        <w:rPr>
          <w:rFonts w:ascii="Calibri" w:hAnsi="Calibri"/>
          <w:color w:val="111827"/>
          <w:sz w:val="22"/>
        </w:rPr>
        <w:t>Sections 1-3 define scope, workflow, and all calculation variables.</w:t>
      </w:r>
    </w:p>
    <w:p>
      <w:pPr>
        <w:pStyle w:val="ListBullet"/>
        <w:spacing w:after="80" w:line="290" w:lineRule="auto"/>
        <w:ind w:left="540" w:hanging="279"/>
      </w:pPr>
      <w:r>
        <w:rPr>
          <w:rFonts w:ascii="Calibri" w:hAnsi="Calibri"/>
          <w:color w:val="111827"/>
          <w:sz w:val="22"/>
        </w:rPr>
        <w:t>Sections 4-7 provide every implemented equation and explain adaptive mesh density.</w:t>
      </w:r>
    </w:p>
    <w:p>
      <w:pPr>
        <w:pStyle w:val="ListBullet"/>
        <w:spacing w:after="80" w:line="290" w:lineRule="auto"/>
        <w:ind w:left="540" w:hanging="279"/>
      </w:pPr>
      <w:r>
        <w:rPr>
          <w:rFonts w:ascii="Calibri" w:hAnsi="Calibri"/>
          <w:color w:val="111827"/>
          <w:sz w:val="22"/>
        </w:rPr>
        <w:t>Sections 8-12 compare the model domain with published corrosion, dent, crack, SCC/fatigue, and RSTRENG evidence.</w:t>
      </w:r>
    </w:p>
    <w:p>
      <w:pPr>
        <w:pStyle w:val="ListBullet"/>
        <w:spacing w:after="80" w:line="290" w:lineRule="auto"/>
        <w:ind w:left="540" w:hanging="279"/>
      </w:pPr>
      <w:r>
        <w:rPr>
          <w:rFonts w:ascii="Calibri" w:hAnsi="Calibri"/>
          <w:color w:val="111827"/>
          <w:sz w:val="22"/>
        </w:rPr>
        <w:t>Appendices provide neural-network weights, verification requirements, and references.</w:t>
      </w:r>
    </w:p>
    <w:p>
      <w:r>
        <w:br w:type="page"/>
      </w:r>
    </w:p>
    <w:p>
      <w:pPr>
        <w:pStyle w:val="Heading1"/>
        <w:keepNext/>
      </w:pPr>
      <w:r>
        <w:t>1. Model Scope and Evidence Hierarchy</w:t>
      </w:r>
    </w:p>
    <w:p>
      <w:pPr>
        <w:spacing w:before="0" w:after="160" w:line="320" w:lineRule="auto"/>
      </w:pPr>
      <w:r>
        <w:rPr>
          <w:rFonts w:ascii="Calibri" w:hAnsi="Calibri"/>
          <w:b w:val="0"/>
          <w:i w:val="0"/>
          <w:color w:val="111827"/>
          <w:sz w:val="22"/>
        </w:rPr>
        <w:t>Validation is separated into four evidence levels so that related literature is not overstated as direct verification.</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tcMar>
              <w:top w:w="80" w:type="dxa"/>
              <w:start w:w="120" w:type="dxa"/>
              <w:bottom w:w="80" w:type="dxa"/>
              <w:end w:w="120" w:type="dxa"/>
            </w:tcMar>
            <w:vAlign w:val="center"/>
            <w:shd w:fill="F4F6F9"/>
          </w:tcPr>
          <w:p>
            <w:pPr>
              <w:spacing w:after="0"/>
              <w:jc w:val="center"/>
            </w:pPr>
            <w:r>
              <w:rPr>
                <w:rFonts w:ascii="Calibri" w:hAnsi="Calibri"/>
                <w:b/>
                <w:color w:val="1F4D78"/>
                <w:sz w:val="18"/>
              </w:rPr>
              <w:t>Level</w:t>
            </w:r>
          </w:p>
        </w:tc>
        <w:tc>
          <w:tcPr>
            <w:tcW w:type="dxa" w:w="3900"/>
            <w:tcMar>
              <w:top w:w="80" w:type="dxa"/>
              <w:start w:w="120" w:type="dxa"/>
              <w:bottom w:w="80" w:type="dxa"/>
              <w:end w:w="120" w:type="dxa"/>
            </w:tcMar>
            <w:vAlign w:val="center"/>
            <w:shd w:fill="F4F6F9"/>
          </w:tcPr>
          <w:p>
            <w:pPr>
              <w:spacing w:after="0"/>
              <w:jc w:val="center"/>
            </w:pPr>
            <w:r>
              <w:rPr>
                <w:rFonts w:ascii="Calibri" w:hAnsi="Calibri"/>
                <w:b/>
                <w:color w:val="1F4D78"/>
                <w:sz w:val="18"/>
              </w:rPr>
              <w:t>Meaning</w:t>
            </w:r>
          </w:p>
        </w:tc>
        <w:tc>
          <w:tcPr>
            <w:tcW w:type="dxa" w:w="3760"/>
            <w:tcMar>
              <w:top w:w="80" w:type="dxa"/>
              <w:start w:w="120" w:type="dxa"/>
              <w:bottom w:w="80" w:type="dxa"/>
              <w:end w:w="120" w:type="dxa"/>
            </w:tcMar>
            <w:vAlign w:val="center"/>
            <w:shd w:fill="F4F6F9"/>
          </w:tcPr>
          <w:p>
            <w:pPr>
              <w:spacing w:after="0"/>
              <w:jc w:val="center"/>
            </w:pPr>
            <w:r>
              <w:rPr>
                <w:rFonts w:ascii="Calibri" w:hAnsi="Calibri"/>
                <w:b/>
                <w:color w:val="1F4D78"/>
                <w:sz w:val="18"/>
              </w:rPr>
              <w:t>Evidence in this paper</w:t>
            </w:r>
          </w:p>
        </w:tc>
      </w:tr>
      <w:tr>
        <w:tc>
          <w:tcPr>
            <w:tcW w:type="dxa" w:w="1700"/>
          </w:tcPr>
          <w:p>
            <w:pPr>
              <w:spacing w:after="0"/>
              <w:jc w:val="center"/>
            </w:pPr>
            <w:r>
              <w:rPr>
                <w:rFonts w:ascii="Calibri" w:hAnsi="Calibri"/>
                <w:color w:val="111827"/>
                <w:sz w:val="18"/>
              </w:rPr>
              <w:t>A - Direct reproduction</w:t>
            </w:r>
          </w:p>
        </w:tc>
        <w:tc>
          <w:tcPr>
            <w:tcW w:type="dxa" w:w="3900"/>
          </w:tcPr>
          <w:p>
            <w:pPr>
              <w:spacing w:after="0"/>
              <w:jc w:val="center"/>
            </w:pPr>
            <w:r>
              <w:rPr>
                <w:rFonts w:ascii="Calibri" w:hAnsi="Calibri"/>
                <w:color w:val="111827"/>
                <w:sz w:val="18"/>
              </w:rPr>
              <w:t>Same normalized variables and target response as the embedded surrogate.</w:t>
            </w:r>
          </w:p>
        </w:tc>
        <w:tc>
          <w:tcPr>
            <w:tcW w:type="dxa" w:w="3760"/>
          </w:tcPr>
          <w:p>
            <w:pPr>
              <w:spacing w:after="0"/>
              <w:jc w:val="left"/>
            </w:pPr>
            <w:r>
              <w:rPr>
                <w:rFonts w:ascii="Calibri" w:hAnsi="Calibri"/>
                <w:color w:val="111827"/>
                <w:sz w:val="18"/>
              </w:rPr>
              <w:t>29 published FEA parameter cases from Lo et al. [1].</w:t>
            </w:r>
          </w:p>
        </w:tc>
      </w:tr>
      <w:tr>
        <w:tc>
          <w:tcPr>
            <w:tcW w:type="dxa" w:w="1700"/>
          </w:tcPr>
          <w:p>
            <w:pPr>
              <w:spacing w:after="0"/>
              <w:jc w:val="center"/>
            </w:pPr>
            <w:r>
              <w:rPr>
                <w:rFonts w:ascii="Calibri" w:hAnsi="Calibri"/>
                <w:color w:val="111827"/>
                <w:sz w:val="18"/>
              </w:rPr>
              <w:t>B - Independent source-method validation</w:t>
            </w:r>
          </w:p>
        </w:tc>
        <w:tc>
          <w:tcPr>
            <w:tcW w:type="dxa" w:w="3900"/>
          </w:tcPr>
          <w:p>
            <w:pPr>
              <w:spacing w:after="0"/>
              <w:jc w:val="center"/>
            </w:pPr>
            <w:r>
              <w:rPr>
                <w:rFonts w:ascii="Calibri" w:hAnsi="Calibri"/>
                <w:color w:val="111827"/>
                <w:sz w:val="18"/>
              </w:rPr>
              <w:t>Full-scale burst tests used to validate related nonlinear FEA/ANN methodologies.</w:t>
            </w:r>
          </w:p>
        </w:tc>
        <w:tc>
          <w:tcPr>
            <w:tcW w:type="dxa" w:w="3760"/>
          </w:tcPr>
          <w:p>
            <w:pPr>
              <w:spacing w:after="0"/>
              <w:jc w:val="left"/>
            </w:pPr>
            <w:r>
              <w:rPr>
                <w:rFonts w:ascii="Calibri" w:hAnsi="Calibri"/>
                <w:color w:val="111827"/>
                <w:sz w:val="18"/>
              </w:rPr>
              <w:t>X52, X65, X80 corrosion studies [1-4].</w:t>
            </w:r>
          </w:p>
        </w:tc>
      </w:tr>
      <w:tr>
        <w:tc>
          <w:tcPr>
            <w:tcW w:type="dxa" w:w="1700"/>
          </w:tcPr>
          <w:p>
            <w:pPr>
              <w:spacing w:after="0"/>
              <w:jc w:val="center"/>
            </w:pPr>
            <w:r>
              <w:rPr>
                <w:rFonts w:ascii="Calibri" w:hAnsi="Calibri"/>
                <w:color w:val="111827"/>
                <w:sz w:val="18"/>
              </w:rPr>
              <w:t>C - Adjacent defect validation</w:t>
            </w:r>
          </w:p>
        </w:tc>
        <w:tc>
          <w:tcPr>
            <w:tcW w:type="dxa" w:w="3900"/>
          </w:tcPr>
          <w:p>
            <w:pPr>
              <w:spacing w:after="0"/>
              <w:jc w:val="center"/>
            </w:pPr>
            <w:r>
              <w:rPr>
                <w:rFonts w:ascii="Calibri" w:hAnsi="Calibri"/>
                <w:color w:val="111827"/>
                <w:sz w:val="18"/>
              </w:rPr>
              <w:t>Published FEA/experimental evidence for dents and dent-cracks.</w:t>
            </w:r>
          </w:p>
        </w:tc>
        <w:tc>
          <w:tcPr>
            <w:tcW w:type="dxa" w:w="3760"/>
          </w:tcPr>
          <w:p>
            <w:pPr>
              <w:spacing w:after="0"/>
              <w:jc w:val="left"/>
            </w:pPr>
            <w:r>
              <w:rPr>
                <w:rFonts w:ascii="Calibri" w:hAnsi="Calibri"/>
                <w:color w:val="111827"/>
                <w:sz w:val="18"/>
              </w:rPr>
              <w:t>Plain-dent DNN and XFEM dent-crack studies [5,6].</w:t>
            </w:r>
          </w:p>
        </w:tc>
      </w:tr>
      <w:tr>
        <w:tc>
          <w:tcPr>
            <w:tcW w:type="dxa" w:w="1700"/>
          </w:tcPr>
          <w:p>
            <w:pPr>
              <w:spacing w:after="0"/>
              <w:jc w:val="center"/>
            </w:pPr>
            <w:r>
              <w:rPr>
                <w:rFonts w:ascii="Calibri" w:hAnsi="Calibri"/>
                <w:color w:val="111827"/>
                <w:sz w:val="18"/>
              </w:rPr>
              <w:t>D - Standards and historical databases</w:t>
            </w:r>
          </w:p>
        </w:tc>
        <w:tc>
          <w:tcPr>
            <w:tcW w:type="dxa" w:w="3900"/>
          </w:tcPr>
          <w:p>
            <w:pPr>
              <w:spacing w:after="0"/>
              <w:jc w:val="center"/>
            </w:pPr>
            <w:r>
              <w:rPr>
                <w:rFonts w:ascii="Calibri" w:hAnsi="Calibri"/>
                <w:color w:val="111827"/>
                <w:sz w:val="18"/>
              </w:rPr>
              <w:t>Code methods, experimental databases, and governance.</w:t>
            </w:r>
          </w:p>
        </w:tc>
        <w:tc>
          <w:tcPr>
            <w:tcW w:type="dxa" w:w="3760"/>
          </w:tcPr>
          <w:p>
            <w:pPr>
              <w:spacing w:after="0"/>
              <w:jc w:val="left"/>
            </w:pPr>
            <w:r>
              <w:rPr>
                <w:rFonts w:ascii="Calibri" w:hAnsi="Calibri"/>
                <w:color w:val="111827"/>
                <w:sz w:val="18"/>
              </w:rPr>
              <w:t>RSTRENG, ASME B31.8, API RP 1183, Paris law [7-11].</w:t>
            </w:r>
          </w:p>
        </w:tc>
      </w:tr>
    </w:tbl>
    <w:p>
      <w:pPr>
        <w:spacing w:after="40"/>
      </w:pPr>
    </w:p>
    <w:p>
      <w:pPr>
        <w:spacing w:before="0" w:after="160" w:line="320" w:lineRule="auto"/>
      </w:pPr>
      <w:r>
        <w:rPr>
          <w:rFonts w:ascii="Calibri" w:hAnsi="Calibri"/>
          <w:b w:val="0"/>
          <w:i w:val="0"/>
          <w:color w:val="111827"/>
          <w:sz w:val="22"/>
        </w:rPr>
        <w:t>Only Level A directly tests the embedded corrosion response surface. Levels B-D support the physical methods, model-development strategy, and assessment boundaries.</w:t>
      </w:r>
    </w:p>
    <w:p>
      <w:r>
        <w:br w:type="page"/>
      </w:r>
    </w:p>
    <w:p>
      <w:pPr>
        <w:pStyle w:val="Heading1"/>
        <w:keepNext/>
      </w:pPr>
      <w:r>
        <w:t>2. Calculation Workflow</w:t>
      </w:r>
    </w:p>
    <w:p>
      <w:pPr>
        <w:spacing w:after="80"/>
        <w:jc w:val="center"/>
      </w:pPr>
      <w:r>
        <w:drawing>
          <wp:inline xmlns:a="http://schemas.openxmlformats.org/drawingml/2006/main" xmlns:pic="http://schemas.openxmlformats.org/drawingml/2006/picture">
            <wp:extent cx="5806440" cy="3846766"/>
            <wp:docPr id="1" name="Picture 1" descr="Figure 1. End-to-end calculation workflow implemented by the Automated ILI-to-FEA module."/>
            <wp:cNvGraphicFramePr>
              <a:graphicFrameLocks noChangeAspect="1"/>
            </wp:cNvGraphicFramePr>
            <a:graphic>
              <a:graphicData uri="http://schemas.openxmlformats.org/drawingml/2006/picture">
                <pic:pic>
                  <pic:nvPicPr>
                    <pic:cNvPr id="0" name="calculation_workflow.png"/>
                    <pic:cNvPicPr/>
                  </pic:nvPicPr>
                  <pic:blipFill>
                    <a:blip r:embed="rId11"/>
                    <a:stretch>
                      <a:fillRect/>
                    </a:stretch>
                  </pic:blipFill>
                  <pic:spPr>
                    <a:xfrm>
                      <a:off x="0" y="0"/>
                      <a:ext cx="5806440" cy="3846766"/>
                    </a:xfrm>
                    <a:prstGeom prst="rect"/>
                  </pic:spPr>
                </pic:pic>
              </a:graphicData>
            </a:graphic>
          </wp:inline>
        </w:drawing>
      </w:r>
    </w:p>
    <w:p>
      <w:pPr>
        <w:spacing w:after="200"/>
        <w:jc w:val="center"/>
      </w:pPr>
      <w:r>
        <w:rPr>
          <w:rFonts w:ascii="Calibri" w:hAnsi="Calibri"/>
          <w:i/>
          <w:color w:val="6B7280"/>
          <w:sz w:val="18"/>
        </w:rPr>
        <w:t>Figure 1. End-to-end calculation workflow implemented by the Automated ILI-to-FEA module.</w:t>
      </w:r>
    </w:p>
    <w:p>
      <w:pPr>
        <w:pStyle w:val="ListNumber"/>
        <w:spacing w:after="80" w:line="290" w:lineRule="auto"/>
        <w:ind w:left="540" w:hanging="279"/>
      </w:pPr>
      <w:r>
        <w:rPr>
          <w:rFonts w:ascii="Calibri" w:hAnsi="Calibri"/>
          <w:color w:val="111827"/>
          <w:sz w:val="22"/>
        </w:rPr>
        <w:t>Import and parse summarized ILI features and/or raw MFL, crack-tool, and caliper data.</w:t>
      </w:r>
    </w:p>
    <w:p>
      <w:pPr>
        <w:pStyle w:val="ListNumber"/>
        <w:spacing w:after="80" w:line="290" w:lineRule="auto"/>
        <w:ind w:left="540" w:hanging="279"/>
      </w:pPr>
      <w:r>
        <w:rPr>
          <w:rFonts w:ascii="Calibri" w:hAnsi="Calibri"/>
          <w:color w:val="111827"/>
          <w:sz w:val="22"/>
        </w:rPr>
        <w:t>Register each sample to feature ID, chainage, clock position, and local axial/circumferential offsets.</w:t>
      </w:r>
    </w:p>
    <w:p>
      <w:pPr>
        <w:pStyle w:val="ListNumber"/>
        <w:spacing w:after="80" w:line="290" w:lineRule="auto"/>
        <w:ind w:left="540" w:hanging="279"/>
      </w:pPr>
      <w:r>
        <w:rPr>
          <w:rFonts w:ascii="Calibri" w:hAnsi="Calibri"/>
          <w:color w:val="111827"/>
          <w:sz w:val="22"/>
        </w:rPr>
        <w:t>Translate measurements to model coordinates and update depth, length, width, crack grouping, and dent geometry.</w:t>
      </w:r>
    </w:p>
    <w:p>
      <w:pPr>
        <w:pStyle w:val="ListNumber"/>
        <w:spacing w:after="80" w:line="290" w:lineRule="auto"/>
        <w:ind w:left="540" w:hanging="279"/>
      </w:pPr>
      <w:r>
        <w:rPr>
          <w:rFonts w:ascii="Calibri" w:hAnsi="Calibri"/>
          <w:color w:val="111827"/>
          <w:sz w:val="22"/>
        </w:rPr>
        <w:t>Generate one shell topology. Base cells are subdivided around anomaly footprints; crack-intersected triangles are omitted.</w:t>
      </w:r>
    </w:p>
    <w:p>
      <w:pPr>
        <w:pStyle w:val="ListNumber"/>
        <w:spacing w:after="80" w:line="290" w:lineRule="auto"/>
        <w:ind w:left="540" w:hanging="279"/>
      </w:pPr>
      <w:r>
        <w:rPr>
          <w:rFonts w:ascii="Calibri" w:hAnsi="Calibri"/>
          <w:color w:val="111827"/>
          <w:sz w:val="22"/>
        </w:rPr>
        <w:t>Screen isolated defects, generate interacting pairs, estimate fatigue/crack growth, and determine the governing allowable pressure.</w:t>
      </w:r>
    </w:p>
    <w:p>
      <w:pPr>
        <w:pStyle w:val="ListNumber"/>
        <w:spacing w:after="80" w:line="290" w:lineRule="auto"/>
        <w:ind w:left="540" w:hanging="279"/>
      </w:pPr>
      <w:r>
        <w:rPr>
          <w:rFonts w:ascii="Calibri" w:hAnsi="Calibri"/>
          <w:color w:val="111827"/>
          <w:sz w:val="22"/>
        </w:rPr>
        <w:t>Run the selected ANN/DNN for domain-limited rapid corrosion prediction and propagate uncertainty by Monte Carlo simulation.</w:t>
      </w:r>
    </w:p>
    <w:p>
      <w:pPr>
        <w:pStyle w:val="ListNumber"/>
        <w:spacing w:after="80" w:line="290" w:lineRule="auto"/>
        <w:ind w:left="540" w:hanging="279"/>
      </w:pPr>
      <w:r>
        <w:rPr>
          <w:rFonts w:ascii="Calibri" w:hAnsi="Calibri"/>
          <w:color w:val="111827"/>
          <w:sz w:val="22"/>
        </w:rPr>
        <w:t>Combine pressure, fatigue, reliability, and strain outputs into an engineering disposition with stated limitations.</w:t>
      </w:r>
    </w:p>
    <w:p>
      <w:r>
        <w:br w:type="page"/>
      </w:r>
    </w:p>
    <w:p>
      <w:pPr>
        <w:pStyle w:val="Heading1"/>
        <w:keepNext/>
      </w:pPr>
      <w:r>
        <w:t>Complete Model Variable Register</w:t>
      </w:r>
    </w:p>
    <w:p>
      <w:pPr>
        <w:spacing w:before="0" w:after="160" w:line="320" w:lineRule="auto"/>
      </w:pPr>
      <w:r>
        <w:rPr>
          <w:rFonts w:ascii="Calibri" w:hAnsi="Calibri"/>
          <w:b w:val="0"/>
          <w:i w:val="0"/>
          <w:color w:val="111827"/>
          <w:sz w:val="22"/>
        </w:rPr>
        <w:t>The following tables list every user-controlled or raw-data variable consumed by the current Automated ILI-to-FEA calculation path. Units are mandatory unless identified as dimensionless.</w:t>
      </w:r>
    </w:p>
    <w:p>
      <w:pPr>
        <w:pStyle w:val="Heading2"/>
        <w:keepNext/>
      </w:pPr>
      <w:r>
        <w:t>Pipe, Material, and Loading Variables</w:t>
      </w:r>
    </w:p>
    <w:tbl>
      <w:tblPr>
        <w:tblStyle w:val="TableGrid"/>
        <w:tblW w:type="dxa" w:w="9360"/>
        <w:jc w:val="left"/>
        <w:tblLayout w:type="fixed"/>
        <w:tblLook w:firstColumn="1" w:firstRow="1" w:lastColumn="0" w:lastRow="0" w:noHBand="0" w:noVBand="1" w:val="04A0"/>
        <w:tblInd w:w="120" w:type="dxa"/>
      </w:tblPr>
      <w:tblGrid>
        <w:gridCol w:w="2500"/>
        <w:gridCol w:w="1450"/>
        <w:gridCol w:w="5410"/>
      </w:tblGrid>
      <w:tr>
        <w:trPr>
          <w:tblHeader w:val="true"/>
        </w:trPr>
        <w:tc>
          <w:tcPr>
            <w:tcW w:type="dxa" w:w="2500"/>
            <w:tcMar>
              <w:top w:w="80" w:type="dxa"/>
              <w:start w:w="120" w:type="dxa"/>
              <w:bottom w:w="80" w:type="dxa"/>
              <w:end w:w="120" w:type="dxa"/>
            </w:tcMar>
            <w:vAlign w:val="center"/>
            <w:shd w:fill="F4F6F9"/>
          </w:tcPr>
          <w:p>
            <w:pPr>
              <w:spacing w:after="0"/>
              <w:jc w:val="center"/>
            </w:pPr>
            <w:r>
              <w:rPr>
                <w:rFonts w:ascii="Calibri" w:hAnsi="Calibri"/>
                <w:b/>
                <w:color w:val="1F4D78"/>
                <w:sz w:val="18"/>
              </w:rPr>
              <w:t>Symbol / field</w:t>
            </w:r>
          </w:p>
        </w:tc>
        <w:tc>
          <w:tcPr>
            <w:tcW w:type="dxa" w:w="1450"/>
            <w:tcMar>
              <w:top w:w="80" w:type="dxa"/>
              <w:start w:w="120" w:type="dxa"/>
              <w:bottom w:w="80" w:type="dxa"/>
              <w:end w:w="120" w:type="dxa"/>
            </w:tcMar>
            <w:vAlign w:val="center"/>
            <w:shd w:fill="F4F6F9"/>
          </w:tcPr>
          <w:p>
            <w:pPr>
              <w:spacing w:after="0"/>
              <w:jc w:val="center"/>
            </w:pPr>
            <w:r>
              <w:rPr>
                <w:rFonts w:ascii="Calibri" w:hAnsi="Calibri"/>
                <w:b/>
                <w:color w:val="1F4D78"/>
                <w:sz w:val="18"/>
              </w:rPr>
              <w:t>Units</w:t>
            </w:r>
          </w:p>
        </w:tc>
        <w:tc>
          <w:tcPr>
            <w:tcW w:type="dxa" w:w="5410"/>
            <w:tcMar>
              <w:top w:w="80" w:type="dxa"/>
              <w:start w:w="120" w:type="dxa"/>
              <w:bottom w:w="80" w:type="dxa"/>
              <w:end w:w="120" w:type="dxa"/>
            </w:tcMar>
            <w:vAlign w:val="center"/>
            <w:shd w:fill="F4F6F9"/>
          </w:tcPr>
          <w:p>
            <w:pPr>
              <w:spacing w:after="0"/>
              <w:jc w:val="center"/>
            </w:pPr>
            <w:r>
              <w:rPr>
                <w:rFonts w:ascii="Calibri" w:hAnsi="Calibri"/>
                <w:b/>
                <w:color w:val="1F4D78"/>
                <w:sz w:val="18"/>
              </w:rPr>
              <w:t>Meaning and use</w:t>
            </w:r>
          </w:p>
        </w:tc>
      </w:tr>
      <w:tr>
        <w:tc>
          <w:tcPr>
            <w:tcW w:type="dxa" w:w="2500"/>
          </w:tcPr>
          <w:p>
            <w:pPr>
              <w:spacing w:after="0"/>
              <w:jc w:val="center"/>
            </w:pPr>
            <w:r>
              <w:rPr>
                <w:rFonts w:ascii="Calibri" w:hAnsi="Calibri"/>
                <w:color w:val="111827"/>
                <w:sz w:val="18"/>
              </w:rPr>
              <w:t>D / outside_diameter_mm</w:t>
            </w:r>
          </w:p>
        </w:tc>
        <w:tc>
          <w:tcPr>
            <w:tcW w:type="dxa" w:w="1450"/>
          </w:tcPr>
          <w:p>
            <w:pPr>
              <w:spacing w:after="0"/>
              <w:jc w:val="center"/>
            </w:pPr>
            <w:r>
              <w:rPr>
                <w:rFonts w:ascii="Calibri" w:hAnsi="Calibri"/>
                <w:color w:val="111827"/>
                <w:sz w:val="18"/>
              </w:rPr>
              <w:t>mm</w:t>
            </w:r>
          </w:p>
        </w:tc>
        <w:tc>
          <w:tcPr>
            <w:tcW w:type="dxa" w:w="5410"/>
          </w:tcPr>
          <w:p>
            <w:pPr>
              <w:spacing w:after="0"/>
              <w:jc w:val="left"/>
            </w:pPr>
            <w:r>
              <w:rPr>
                <w:rFonts w:ascii="Calibri" w:hAnsi="Calibri"/>
                <w:color w:val="111827"/>
                <w:sz w:val="18"/>
              </w:rPr>
              <w:t>Pipe outside diameter; hoop-pressure conversion, normalization, spacing, mesh scale.</w:t>
            </w:r>
          </w:p>
        </w:tc>
      </w:tr>
      <w:tr>
        <w:tc>
          <w:tcPr>
            <w:tcW w:type="dxa" w:w="2500"/>
          </w:tcPr>
          <w:p>
            <w:pPr>
              <w:spacing w:after="0"/>
              <w:jc w:val="center"/>
            </w:pPr>
            <w:r>
              <w:rPr>
                <w:rFonts w:ascii="Calibri" w:hAnsi="Calibri"/>
                <w:color w:val="111827"/>
                <w:sz w:val="18"/>
              </w:rPr>
              <w:t>t / wall_thickness_mm</w:t>
            </w:r>
          </w:p>
        </w:tc>
        <w:tc>
          <w:tcPr>
            <w:tcW w:type="dxa" w:w="1450"/>
          </w:tcPr>
          <w:p>
            <w:pPr>
              <w:spacing w:after="0"/>
              <w:jc w:val="center"/>
            </w:pPr>
            <w:r>
              <w:rPr>
                <w:rFonts w:ascii="Calibri" w:hAnsi="Calibri"/>
                <w:color w:val="111827"/>
                <w:sz w:val="18"/>
              </w:rPr>
              <w:t>mm</w:t>
            </w:r>
          </w:p>
        </w:tc>
        <w:tc>
          <w:tcPr>
            <w:tcW w:type="dxa" w:w="5410"/>
          </w:tcPr>
          <w:p>
            <w:pPr>
              <w:spacing w:after="0"/>
              <w:jc w:val="left"/>
            </w:pPr>
            <w:r>
              <w:rPr>
                <w:rFonts w:ascii="Calibri" w:hAnsi="Calibri"/>
                <w:color w:val="111827"/>
                <w:sz w:val="18"/>
              </w:rPr>
              <w:t>Nominal wall; defect depth conversion, remaining ligament, pressure capacity, mesh scale.</w:t>
            </w:r>
          </w:p>
        </w:tc>
      </w:tr>
      <w:tr>
        <w:tc>
          <w:tcPr>
            <w:tcW w:type="dxa" w:w="2500"/>
          </w:tcPr>
          <w:p>
            <w:pPr>
              <w:spacing w:after="0"/>
              <w:jc w:val="center"/>
            </w:pPr>
            <w:r>
              <w:rPr>
                <w:rFonts w:ascii="Calibri" w:hAnsi="Calibri"/>
                <w:color w:val="111827"/>
                <w:sz w:val="18"/>
              </w:rPr>
              <w:t>P_MAOP / maop_mpa</w:t>
            </w:r>
          </w:p>
        </w:tc>
        <w:tc>
          <w:tcPr>
            <w:tcW w:type="dxa" w:w="1450"/>
          </w:tcPr>
          <w:p>
            <w:pPr>
              <w:spacing w:after="0"/>
              <w:jc w:val="center"/>
            </w:pPr>
            <w:r>
              <w:rPr>
                <w:rFonts w:ascii="Calibri" w:hAnsi="Calibri"/>
                <w:color w:val="111827"/>
                <w:sz w:val="18"/>
              </w:rPr>
              <w:t>MPa</w:t>
            </w:r>
          </w:p>
        </w:tc>
        <w:tc>
          <w:tcPr>
            <w:tcW w:type="dxa" w:w="5410"/>
          </w:tcPr>
          <w:p>
            <w:pPr>
              <w:spacing w:after="0"/>
              <w:jc w:val="left"/>
            </w:pPr>
            <w:r>
              <w:rPr>
                <w:rFonts w:ascii="Calibri" w:hAnsi="Calibri"/>
                <w:color w:val="111827"/>
                <w:sz w:val="18"/>
              </w:rPr>
              <w:t>Current pressure demand and MOP utilization.</w:t>
            </w:r>
          </w:p>
        </w:tc>
      </w:tr>
      <w:tr>
        <w:tc>
          <w:tcPr>
            <w:tcW w:type="dxa" w:w="2500"/>
          </w:tcPr>
          <w:p>
            <w:pPr>
              <w:spacing w:after="0"/>
              <w:jc w:val="center"/>
            </w:pPr>
            <w:r>
              <w:rPr>
                <w:rFonts w:ascii="Calibri" w:hAnsi="Calibri"/>
                <w:color w:val="111827"/>
                <w:sz w:val="18"/>
              </w:rPr>
              <w:t>SMYS</w:t>
            </w:r>
          </w:p>
        </w:tc>
        <w:tc>
          <w:tcPr>
            <w:tcW w:type="dxa" w:w="1450"/>
          </w:tcPr>
          <w:p>
            <w:pPr>
              <w:spacing w:after="0"/>
              <w:jc w:val="center"/>
            </w:pPr>
            <w:r>
              <w:rPr>
                <w:rFonts w:ascii="Calibri" w:hAnsi="Calibri"/>
                <w:color w:val="111827"/>
                <w:sz w:val="18"/>
              </w:rPr>
              <w:t>MPa</w:t>
            </w:r>
          </w:p>
        </w:tc>
        <w:tc>
          <w:tcPr>
            <w:tcW w:type="dxa" w:w="5410"/>
          </w:tcPr>
          <w:p>
            <w:pPr>
              <w:spacing w:after="0"/>
              <w:jc w:val="left"/>
            </w:pPr>
            <w:r>
              <w:rPr>
                <w:rFonts w:ascii="Calibri" w:hAnsi="Calibri"/>
                <w:color w:val="111827"/>
                <w:sz w:val="18"/>
              </w:rPr>
              <w:t>Yield strength; flow stress, axial-stress normalization, load modifiers.</w:t>
            </w:r>
          </w:p>
        </w:tc>
      </w:tr>
      <w:tr>
        <w:tc>
          <w:tcPr>
            <w:tcW w:type="dxa" w:w="2500"/>
          </w:tcPr>
          <w:p>
            <w:pPr>
              <w:spacing w:after="0"/>
              <w:jc w:val="center"/>
            </w:pPr>
            <w:r>
              <w:rPr>
                <w:rFonts w:ascii="Calibri" w:hAnsi="Calibri"/>
                <w:color w:val="111827"/>
                <w:sz w:val="18"/>
              </w:rPr>
              <w:t>SMTS</w:t>
            </w:r>
          </w:p>
        </w:tc>
        <w:tc>
          <w:tcPr>
            <w:tcW w:type="dxa" w:w="1450"/>
          </w:tcPr>
          <w:p>
            <w:pPr>
              <w:spacing w:after="0"/>
              <w:jc w:val="center"/>
            </w:pPr>
            <w:r>
              <w:rPr>
                <w:rFonts w:ascii="Calibri" w:hAnsi="Calibri"/>
                <w:color w:val="111827"/>
                <w:sz w:val="18"/>
              </w:rPr>
              <w:t>MPa</w:t>
            </w:r>
          </w:p>
        </w:tc>
        <w:tc>
          <w:tcPr>
            <w:tcW w:type="dxa" w:w="5410"/>
          </w:tcPr>
          <w:p>
            <w:pPr>
              <w:spacing w:after="0"/>
              <w:jc w:val="left"/>
            </w:pPr>
            <w:r>
              <w:rPr>
                <w:rFonts w:ascii="Calibri" w:hAnsi="Calibri"/>
                <w:color w:val="111827"/>
                <w:sz w:val="18"/>
              </w:rPr>
              <w:t>Tensile strength; flow stress cap and pristine pressure.</w:t>
            </w:r>
          </w:p>
        </w:tc>
      </w:tr>
      <w:tr>
        <w:tc>
          <w:tcPr>
            <w:tcW w:type="dxa" w:w="2500"/>
          </w:tcPr>
          <w:p>
            <w:pPr>
              <w:spacing w:after="0"/>
              <w:jc w:val="center"/>
            </w:pPr>
            <w:r>
              <w:rPr>
                <w:rFonts w:ascii="Calibri" w:hAnsi="Calibri"/>
                <w:color w:val="111827"/>
                <w:sz w:val="18"/>
              </w:rPr>
              <w:t>E</w:t>
            </w:r>
          </w:p>
        </w:tc>
        <w:tc>
          <w:tcPr>
            <w:tcW w:type="dxa" w:w="1450"/>
          </w:tcPr>
          <w:p>
            <w:pPr>
              <w:spacing w:after="0"/>
              <w:jc w:val="center"/>
            </w:pPr>
            <w:r>
              <w:rPr>
                <w:rFonts w:ascii="Calibri" w:hAnsi="Calibri"/>
                <w:color w:val="111827"/>
                <w:sz w:val="18"/>
              </w:rPr>
              <w:t>MPa</w:t>
            </w:r>
          </w:p>
        </w:tc>
        <w:tc>
          <w:tcPr>
            <w:tcW w:type="dxa" w:w="5410"/>
          </w:tcPr>
          <w:p>
            <w:pPr>
              <w:spacing w:after="0"/>
              <w:jc w:val="left"/>
            </w:pPr>
            <w:r>
              <w:rPr>
                <w:rFonts w:ascii="Calibri" w:hAnsi="Calibri"/>
                <w:color w:val="111827"/>
                <w:sz w:val="18"/>
              </w:rPr>
              <w:t>Elastic modulus; retained for mechanical definition and related modules.</w:t>
            </w:r>
          </w:p>
        </w:tc>
      </w:tr>
      <w:tr>
        <w:tc>
          <w:tcPr>
            <w:tcW w:type="dxa" w:w="2500"/>
          </w:tcPr>
          <w:p>
            <w:pPr>
              <w:spacing w:after="0"/>
              <w:jc w:val="center"/>
            </w:pPr>
            <w:r>
              <w:rPr>
                <w:rFonts w:ascii="Calibri" w:hAnsi="Calibri"/>
                <w:color w:val="111827"/>
                <w:sz w:val="18"/>
              </w:rPr>
              <w:t>K_mat</w:t>
            </w:r>
          </w:p>
        </w:tc>
        <w:tc>
          <w:tcPr>
            <w:tcW w:type="dxa" w:w="1450"/>
          </w:tcPr>
          <w:p>
            <w:pPr>
              <w:spacing w:after="0"/>
              <w:jc w:val="center"/>
            </w:pPr>
            <w:r>
              <w:rPr>
                <w:rFonts w:ascii="Calibri" w:hAnsi="Calibri"/>
                <w:color w:val="111827"/>
                <w:sz w:val="18"/>
              </w:rPr>
              <w:t>MPa sqrt(m)</w:t>
            </w:r>
          </w:p>
        </w:tc>
        <w:tc>
          <w:tcPr>
            <w:tcW w:type="dxa" w:w="5410"/>
          </w:tcPr>
          <w:p>
            <w:pPr>
              <w:spacing w:after="0"/>
              <w:jc w:val="left"/>
            </w:pPr>
            <w:r>
              <w:rPr>
                <w:rFonts w:ascii="Calibri" w:hAnsi="Calibri"/>
                <w:color w:val="111827"/>
                <w:sz w:val="18"/>
              </w:rPr>
              <w:t>Fracture toughness used in crack-pressure and K screening.</w:t>
            </w:r>
          </w:p>
        </w:tc>
      </w:tr>
      <w:tr>
        <w:tc>
          <w:tcPr>
            <w:tcW w:type="dxa" w:w="2500"/>
          </w:tcPr>
          <w:p>
            <w:pPr>
              <w:spacing w:after="0"/>
              <w:jc w:val="center"/>
            </w:pPr>
            <w:r>
              <w:rPr>
                <w:rFonts w:ascii="Calibri" w:hAnsi="Calibri"/>
                <w:color w:val="111827"/>
                <w:sz w:val="18"/>
              </w:rPr>
              <w:t>F_a</w:t>
            </w:r>
          </w:p>
        </w:tc>
        <w:tc>
          <w:tcPr>
            <w:tcW w:type="dxa" w:w="1450"/>
          </w:tcPr>
          <w:p>
            <w:pPr>
              <w:spacing w:after="0"/>
              <w:jc w:val="center"/>
            </w:pPr>
            <w:r>
              <w:rPr>
                <w:rFonts w:ascii="Calibri" w:hAnsi="Calibri"/>
                <w:color w:val="111827"/>
                <w:sz w:val="18"/>
              </w:rPr>
              <w:t>-</w:t>
            </w:r>
          </w:p>
        </w:tc>
        <w:tc>
          <w:tcPr>
            <w:tcW w:type="dxa" w:w="5410"/>
          </w:tcPr>
          <w:p>
            <w:pPr>
              <w:spacing w:after="0"/>
              <w:jc w:val="left"/>
            </w:pPr>
            <w:r>
              <w:rPr>
                <w:rFonts w:ascii="Calibri" w:hAnsi="Calibri"/>
                <w:color w:val="111827"/>
                <w:sz w:val="18"/>
              </w:rPr>
              <w:t>Assessment factor applied to failure pressure to obtain allowable pressure/MOP.</w:t>
            </w:r>
          </w:p>
        </w:tc>
      </w:tr>
      <w:tr>
        <w:tc>
          <w:tcPr>
            <w:tcW w:type="dxa" w:w="2500"/>
          </w:tcPr>
          <w:p>
            <w:pPr>
              <w:spacing w:after="0"/>
              <w:jc w:val="center"/>
            </w:pPr>
            <w:r>
              <w:rPr>
                <w:rFonts w:ascii="Calibri" w:hAnsi="Calibri"/>
                <w:color w:val="111827"/>
                <w:sz w:val="18"/>
              </w:rPr>
              <w:t>Delta P</w:t>
            </w:r>
          </w:p>
        </w:tc>
        <w:tc>
          <w:tcPr>
            <w:tcW w:type="dxa" w:w="1450"/>
          </w:tcPr>
          <w:p>
            <w:pPr>
              <w:spacing w:after="0"/>
              <w:jc w:val="center"/>
            </w:pPr>
            <w:r>
              <w:rPr>
                <w:rFonts w:ascii="Calibri" w:hAnsi="Calibri"/>
                <w:color w:val="111827"/>
                <w:sz w:val="18"/>
              </w:rPr>
              <w:t>MPa</w:t>
            </w:r>
          </w:p>
        </w:tc>
        <w:tc>
          <w:tcPr>
            <w:tcW w:type="dxa" w:w="5410"/>
          </w:tcPr>
          <w:p>
            <w:pPr>
              <w:spacing w:after="0"/>
              <w:jc w:val="left"/>
            </w:pPr>
            <w:r>
              <w:rPr>
                <w:rFonts w:ascii="Calibri" w:hAnsi="Calibri"/>
                <w:color w:val="111827"/>
                <w:sz w:val="18"/>
              </w:rPr>
              <w:t>Pressure-cycle range converted to hoop-stress range and Delta K.</w:t>
            </w:r>
          </w:p>
        </w:tc>
      </w:tr>
      <w:tr>
        <w:tc>
          <w:tcPr>
            <w:tcW w:type="dxa" w:w="2500"/>
          </w:tcPr>
          <w:p>
            <w:pPr>
              <w:spacing w:after="0"/>
              <w:jc w:val="center"/>
            </w:pPr>
            <w:r>
              <w:rPr>
                <w:rFonts w:ascii="Calibri" w:hAnsi="Calibri"/>
                <w:color w:val="111827"/>
                <w:sz w:val="18"/>
              </w:rPr>
              <w:t>N_y</w:t>
            </w:r>
          </w:p>
        </w:tc>
        <w:tc>
          <w:tcPr>
            <w:tcW w:type="dxa" w:w="1450"/>
          </w:tcPr>
          <w:p>
            <w:pPr>
              <w:spacing w:after="0"/>
              <w:jc w:val="center"/>
            </w:pPr>
            <w:r>
              <w:rPr>
                <w:rFonts w:ascii="Calibri" w:hAnsi="Calibri"/>
                <w:color w:val="111827"/>
                <w:sz w:val="18"/>
              </w:rPr>
              <w:t>cycles/year</w:t>
            </w:r>
          </w:p>
        </w:tc>
        <w:tc>
          <w:tcPr>
            <w:tcW w:type="dxa" w:w="5410"/>
          </w:tcPr>
          <w:p>
            <w:pPr>
              <w:spacing w:after="0"/>
              <w:jc w:val="left"/>
            </w:pPr>
            <w:r>
              <w:rPr>
                <w:rFonts w:ascii="Calibri" w:hAnsi="Calibri"/>
                <w:color w:val="111827"/>
                <w:sz w:val="18"/>
              </w:rPr>
              <w:t>Cycles per year for fatigue-life conversion.</w:t>
            </w:r>
          </w:p>
        </w:tc>
      </w:tr>
      <w:tr>
        <w:tc>
          <w:tcPr>
            <w:tcW w:type="dxa" w:w="2500"/>
          </w:tcPr>
          <w:p>
            <w:pPr>
              <w:spacing w:after="0"/>
              <w:jc w:val="center"/>
            </w:pPr>
            <w:r>
              <w:rPr>
                <w:rFonts w:ascii="Calibri" w:hAnsi="Calibri"/>
                <w:color w:val="111827"/>
                <w:sz w:val="18"/>
              </w:rPr>
              <w:t>N_applied</w:t>
            </w:r>
          </w:p>
        </w:tc>
        <w:tc>
          <w:tcPr>
            <w:tcW w:type="dxa" w:w="1450"/>
          </w:tcPr>
          <w:p>
            <w:pPr>
              <w:spacing w:after="0"/>
              <w:jc w:val="center"/>
            </w:pPr>
            <w:r>
              <w:rPr>
                <w:rFonts w:ascii="Calibri" w:hAnsi="Calibri"/>
                <w:color w:val="111827"/>
                <w:sz w:val="18"/>
              </w:rPr>
              <w:t>cycles</w:t>
            </w:r>
          </w:p>
        </w:tc>
        <w:tc>
          <w:tcPr>
            <w:tcW w:type="dxa" w:w="5410"/>
          </w:tcPr>
          <w:p>
            <w:pPr>
              <w:spacing w:after="0"/>
              <w:jc w:val="left"/>
            </w:pPr>
            <w:r>
              <w:rPr>
                <w:rFonts w:ascii="Calibri" w:hAnsi="Calibri"/>
                <w:color w:val="111827"/>
                <w:sz w:val="18"/>
              </w:rPr>
              <w:t>Applied cycles used for fatigue damage ratio.</w:t>
            </w:r>
          </w:p>
        </w:tc>
      </w:tr>
      <w:tr>
        <w:tc>
          <w:tcPr>
            <w:tcW w:type="dxa" w:w="2500"/>
          </w:tcPr>
          <w:p>
            <w:pPr>
              <w:spacing w:after="0"/>
              <w:jc w:val="center"/>
            </w:pPr>
            <w:r>
              <w:rPr>
                <w:rFonts w:ascii="Calibri" w:hAnsi="Calibri"/>
                <w:color w:val="111827"/>
                <w:sz w:val="18"/>
              </w:rPr>
              <w:t>epsilon_b</w:t>
            </w:r>
          </w:p>
        </w:tc>
        <w:tc>
          <w:tcPr>
            <w:tcW w:type="dxa" w:w="1450"/>
          </w:tcPr>
          <w:p>
            <w:pPr>
              <w:spacing w:after="0"/>
              <w:jc w:val="center"/>
            </w:pPr>
            <w:r>
              <w:rPr>
                <w:rFonts w:ascii="Calibri" w:hAnsi="Calibri"/>
                <w:color w:val="111827"/>
                <w:sz w:val="18"/>
              </w:rPr>
              <w:t>%</w:t>
            </w:r>
          </w:p>
        </w:tc>
        <w:tc>
          <w:tcPr>
            <w:tcW w:type="dxa" w:w="5410"/>
          </w:tcPr>
          <w:p>
            <w:pPr>
              <w:spacing w:after="0"/>
              <w:jc w:val="left"/>
            </w:pPr>
            <w:r>
              <w:rPr>
                <w:rFonts w:ascii="Calibri" w:hAnsi="Calibri"/>
                <w:color w:val="111827"/>
                <w:sz w:val="18"/>
              </w:rPr>
              <w:t>Existing bending strain added to dent/interaction strain screening.</w:t>
            </w:r>
          </w:p>
        </w:tc>
      </w:tr>
      <w:tr>
        <w:tc>
          <w:tcPr>
            <w:tcW w:type="dxa" w:w="2500"/>
          </w:tcPr>
          <w:p>
            <w:pPr>
              <w:spacing w:after="0"/>
              <w:jc w:val="center"/>
            </w:pPr>
            <w:r>
              <w:rPr>
                <w:rFonts w:ascii="Calibri" w:hAnsi="Calibri"/>
                <w:color w:val="111827"/>
                <w:sz w:val="18"/>
              </w:rPr>
              <w:t>sigma_sec</w:t>
            </w:r>
          </w:p>
        </w:tc>
        <w:tc>
          <w:tcPr>
            <w:tcW w:type="dxa" w:w="1450"/>
          </w:tcPr>
          <w:p>
            <w:pPr>
              <w:spacing w:after="0"/>
              <w:jc w:val="center"/>
            </w:pPr>
            <w:r>
              <w:rPr>
                <w:rFonts w:ascii="Calibri" w:hAnsi="Calibri"/>
                <w:color w:val="111827"/>
                <w:sz w:val="18"/>
              </w:rPr>
              <w:t>MPa</w:t>
            </w:r>
          </w:p>
        </w:tc>
        <w:tc>
          <w:tcPr>
            <w:tcW w:type="dxa" w:w="5410"/>
          </w:tcPr>
          <w:p>
            <w:pPr>
              <w:spacing w:after="0"/>
              <w:jc w:val="left"/>
            </w:pPr>
            <w:r>
              <w:rPr>
                <w:rFonts w:ascii="Calibri" w:hAnsi="Calibri"/>
                <w:color w:val="111827"/>
                <w:sz w:val="18"/>
              </w:rPr>
              <w:t>Secondary stress used in interaction load modifier and axial surrogate ratio.</w:t>
            </w:r>
          </w:p>
        </w:tc>
      </w:tr>
      <w:tr>
        <w:tc>
          <w:tcPr>
            <w:tcW w:type="dxa" w:w="2500"/>
          </w:tcPr>
          <w:p>
            <w:pPr>
              <w:spacing w:after="0"/>
              <w:jc w:val="center"/>
            </w:pPr>
            <w:r>
              <w:rPr>
                <w:rFonts w:ascii="Calibri" w:hAnsi="Calibri"/>
                <w:color w:val="111827"/>
                <w:sz w:val="18"/>
              </w:rPr>
              <w:t>f_res</w:t>
            </w:r>
          </w:p>
        </w:tc>
        <w:tc>
          <w:tcPr>
            <w:tcW w:type="dxa" w:w="1450"/>
          </w:tcPr>
          <w:p>
            <w:pPr>
              <w:spacing w:after="0"/>
              <w:jc w:val="center"/>
            </w:pPr>
            <w:r>
              <w:rPr>
                <w:rFonts w:ascii="Calibri" w:hAnsi="Calibri"/>
                <w:color w:val="111827"/>
                <w:sz w:val="18"/>
              </w:rPr>
              <w:t>-</w:t>
            </w:r>
          </w:p>
        </w:tc>
        <w:tc>
          <w:tcPr>
            <w:tcW w:type="dxa" w:w="5410"/>
          </w:tcPr>
          <w:p>
            <w:pPr>
              <w:spacing w:after="0"/>
              <w:jc w:val="left"/>
            </w:pPr>
            <w:r>
              <w:rPr>
                <w:rFonts w:ascii="Calibri" w:hAnsi="Calibri"/>
                <w:color w:val="111827"/>
                <w:sz w:val="18"/>
              </w:rPr>
              <w:t>Residual stress as a fraction of SMYS.</w:t>
            </w:r>
          </w:p>
        </w:tc>
      </w:tr>
      <w:tr>
        <w:tc>
          <w:tcPr>
            <w:tcW w:type="dxa" w:w="2500"/>
          </w:tcPr>
          <w:p>
            <w:pPr>
              <w:spacing w:after="0"/>
              <w:jc w:val="center"/>
            </w:pPr>
            <w:r>
              <w:rPr>
                <w:rFonts w:ascii="Calibri" w:hAnsi="Calibri"/>
                <w:color w:val="111827"/>
                <w:sz w:val="18"/>
              </w:rPr>
              <w:t>C, m</w:t>
            </w:r>
          </w:p>
        </w:tc>
        <w:tc>
          <w:tcPr>
            <w:tcW w:type="dxa" w:w="1450"/>
          </w:tcPr>
          <w:p>
            <w:pPr>
              <w:spacing w:after="0"/>
              <w:jc w:val="center"/>
            </w:pPr>
            <w:r>
              <w:rPr>
                <w:rFonts w:ascii="Calibri" w:hAnsi="Calibri"/>
                <w:color w:val="111827"/>
                <w:sz w:val="18"/>
              </w:rPr>
              <w:t>Paris units, -</w:t>
            </w:r>
          </w:p>
        </w:tc>
        <w:tc>
          <w:tcPr>
            <w:tcW w:type="dxa" w:w="5410"/>
          </w:tcPr>
          <w:p>
            <w:pPr>
              <w:spacing w:after="0"/>
              <w:jc w:val="left"/>
            </w:pPr>
            <w:r>
              <w:rPr>
                <w:rFonts w:ascii="Calibri" w:hAnsi="Calibri"/>
                <w:color w:val="111827"/>
                <w:sz w:val="18"/>
              </w:rPr>
              <w:t>Paris-law coefficient and exponent.</w:t>
            </w:r>
          </w:p>
        </w:tc>
      </w:tr>
    </w:tbl>
    <w:p>
      <w:pPr>
        <w:spacing w:after="40"/>
      </w:pPr>
    </w:p>
    <w:p>
      <w:pPr>
        <w:pStyle w:val="Heading2"/>
        <w:keepNext/>
      </w:pPr>
      <w:r>
        <w:t>Feature and Raw ILI Variables</w:t>
      </w:r>
    </w:p>
    <w:tbl>
      <w:tblPr>
        <w:tblStyle w:val="TableGrid"/>
        <w:tblW w:type="dxa" w:w="9360"/>
        <w:jc w:val="left"/>
        <w:tblLayout w:type="fixed"/>
        <w:tblLook w:firstColumn="1" w:firstRow="1" w:lastColumn="0" w:lastRow="0" w:noHBand="0" w:noVBand="1" w:val="04A0"/>
        <w:tblInd w:w="120" w:type="dxa"/>
      </w:tblPr>
      <w:tblGrid>
        <w:gridCol w:w="1900"/>
        <w:gridCol w:w="3800"/>
        <w:gridCol w:w="3660"/>
      </w:tblGrid>
      <w:tr>
        <w:trPr>
          <w:tblHeader w:val="true"/>
        </w:trPr>
        <w:tc>
          <w:tcPr>
            <w:tcW w:type="dxa" w:w="1900"/>
            <w:tcMar>
              <w:top w:w="80" w:type="dxa"/>
              <w:start w:w="120" w:type="dxa"/>
              <w:bottom w:w="80" w:type="dxa"/>
              <w:end w:w="120" w:type="dxa"/>
            </w:tcMar>
            <w:vAlign w:val="center"/>
            <w:shd w:fill="F4F6F9"/>
          </w:tcPr>
          <w:p>
            <w:pPr>
              <w:spacing w:after="0"/>
              <w:jc w:val="center"/>
            </w:pPr>
            <w:r>
              <w:rPr>
                <w:rFonts w:ascii="Calibri" w:hAnsi="Calibri"/>
                <w:b/>
                <w:color w:val="1F4D78"/>
                <w:sz w:val="18"/>
              </w:rPr>
              <w:t>Input family</w:t>
            </w:r>
          </w:p>
        </w:tc>
        <w:tc>
          <w:tcPr>
            <w:tcW w:type="dxa" w:w="3800"/>
            <w:tcMar>
              <w:top w:w="80" w:type="dxa"/>
              <w:start w:w="120" w:type="dxa"/>
              <w:bottom w:w="80" w:type="dxa"/>
              <w:end w:w="120" w:type="dxa"/>
            </w:tcMar>
            <w:vAlign w:val="center"/>
            <w:shd w:fill="F4F6F9"/>
          </w:tcPr>
          <w:p>
            <w:pPr>
              <w:spacing w:after="0"/>
              <w:jc w:val="center"/>
            </w:pPr>
            <w:r>
              <w:rPr>
                <w:rFonts w:ascii="Calibri" w:hAnsi="Calibri"/>
                <w:b/>
                <w:color w:val="1F4D78"/>
                <w:sz w:val="18"/>
              </w:rPr>
              <w:t>Fields</w:t>
            </w:r>
          </w:p>
        </w:tc>
        <w:tc>
          <w:tcPr>
            <w:tcW w:type="dxa" w:w="3660"/>
            <w:tcMar>
              <w:top w:w="80" w:type="dxa"/>
              <w:start w:w="120" w:type="dxa"/>
              <w:bottom w:w="80" w:type="dxa"/>
              <w:end w:w="120" w:type="dxa"/>
            </w:tcMar>
            <w:vAlign w:val="center"/>
            <w:shd w:fill="F4F6F9"/>
          </w:tcPr>
          <w:p>
            <w:pPr>
              <w:spacing w:after="0"/>
              <w:jc w:val="center"/>
            </w:pPr>
            <w:r>
              <w:rPr>
                <w:rFonts w:ascii="Calibri" w:hAnsi="Calibri"/>
                <w:b/>
                <w:color w:val="1F4D78"/>
                <w:sz w:val="18"/>
              </w:rPr>
              <w:t>Role</w:t>
            </w:r>
          </w:p>
        </w:tc>
      </w:tr>
      <w:tr>
        <w:tc>
          <w:tcPr>
            <w:tcW w:type="dxa" w:w="1900"/>
          </w:tcPr>
          <w:p>
            <w:pPr>
              <w:spacing w:after="0"/>
              <w:jc w:val="center"/>
            </w:pPr>
            <w:r>
              <w:rPr>
                <w:rFonts w:ascii="Calibri" w:hAnsi="Calibri"/>
                <w:color w:val="111827"/>
                <w:sz w:val="18"/>
              </w:rPr>
              <w:t>Feature identity</w:t>
            </w:r>
          </w:p>
        </w:tc>
        <w:tc>
          <w:tcPr>
            <w:tcW w:type="dxa" w:w="3800"/>
          </w:tcPr>
          <w:p>
            <w:pPr>
              <w:spacing w:after="0"/>
              <w:jc w:val="center"/>
            </w:pPr>
            <w:r>
              <w:rPr>
                <w:rFonts w:ascii="Calibri" w:hAnsi="Calibri"/>
                <w:color w:val="111827"/>
                <w:sz w:val="18"/>
              </w:rPr>
              <w:t>feature_id, type, surface</w:t>
            </w:r>
          </w:p>
        </w:tc>
        <w:tc>
          <w:tcPr>
            <w:tcW w:type="dxa" w:w="3660"/>
          </w:tcPr>
          <w:p>
            <w:pPr>
              <w:spacing w:after="0"/>
              <w:jc w:val="left"/>
            </w:pPr>
            <w:r>
              <w:rPr>
                <w:rFonts w:ascii="Calibri" w:hAnsi="Calibri"/>
                <w:color w:val="111827"/>
                <w:sz w:val="18"/>
              </w:rPr>
              <w:t>Registration and anomaly model selection.</w:t>
            </w:r>
          </w:p>
        </w:tc>
      </w:tr>
      <w:tr>
        <w:tc>
          <w:tcPr>
            <w:tcW w:type="dxa" w:w="1900"/>
          </w:tcPr>
          <w:p>
            <w:pPr>
              <w:spacing w:after="0"/>
              <w:jc w:val="center"/>
            </w:pPr>
            <w:r>
              <w:rPr>
                <w:rFonts w:ascii="Calibri" w:hAnsi="Calibri"/>
                <w:color w:val="111827"/>
                <w:sz w:val="18"/>
              </w:rPr>
              <w:t>Feature location</w:t>
            </w:r>
          </w:p>
        </w:tc>
        <w:tc>
          <w:tcPr>
            <w:tcW w:type="dxa" w:w="3800"/>
          </w:tcPr>
          <w:p>
            <w:pPr>
              <w:spacing w:after="0"/>
              <w:jc w:val="center"/>
            </w:pPr>
            <w:r>
              <w:rPr>
                <w:rFonts w:ascii="Calibri" w:hAnsi="Calibri"/>
                <w:color w:val="111827"/>
                <w:sz w:val="18"/>
              </w:rPr>
              <w:t>distance_m, clock_position, orientation_deg</w:t>
            </w:r>
          </w:p>
        </w:tc>
        <w:tc>
          <w:tcPr>
            <w:tcW w:type="dxa" w:w="3660"/>
          </w:tcPr>
          <w:p>
            <w:pPr>
              <w:spacing w:after="0"/>
              <w:jc w:val="left"/>
            </w:pPr>
            <w:r>
              <w:rPr>
                <w:rFonts w:ascii="Calibri" w:hAnsi="Calibri"/>
                <w:color w:val="111827"/>
                <w:sz w:val="18"/>
              </w:rPr>
              <w:t>Axial coordinate, circumferential angle, crack orientation.</w:t>
            </w:r>
          </w:p>
        </w:tc>
      </w:tr>
      <w:tr>
        <w:tc>
          <w:tcPr>
            <w:tcW w:type="dxa" w:w="1900"/>
          </w:tcPr>
          <w:p>
            <w:pPr>
              <w:spacing w:after="0"/>
              <w:jc w:val="center"/>
            </w:pPr>
            <w:r>
              <w:rPr>
                <w:rFonts w:ascii="Calibri" w:hAnsi="Calibri"/>
                <w:color w:val="111827"/>
                <w:sz w:val="18"/>
              </w:rPr>
              <w:t>Feature size</w:t>
            </w:r>
          </w:p>
        </w:tc>
        <w:tc>
          <w:tcPr>
            <w:tcW w:type="dxa" w:w="3800"/>
          </w:tcPr>
          <w:p>
            <w:pPr>
              <w:spacing w:after="0"/>
              <w:jc w:val="center"/>
            </w:pPr>
            <w:r>
              <w:rPr>
                <w:rFonts w:ascii="Calibri" w:hAnsi="Calibri"/>
                <w:color w:val="111827"/>
                <w:sz w:val="18"/>
              </w:rPr>
              <w:t>depth_percent, length_mm, width_mm</w:t>
            </w:r>
          </w:p>
        </w:tc>
        <w:tc>
          <w:tcPr>
            <w:tcW w:type="dxa" w:w="3660"/>
          </w:tcPr>
          <w:p>
            <w:pPr>
              <w:spacing w:after="0"/>
              <w:jc w:val="left"/>
            </w:pPr>
            <w:r>
              <w:rPr>
                <w:rFonts w:ascii="Calibri" w:hAnsi="Calibri"/>
                <w:color w:val="111827"/>
                <w:sz w:val="18"/>
              </w:rPr>
              <w:t>Capacity, interaction, visualization footprint, refinement extent.</w:t>
            </w:r>
          </w:p>
        </w:tc>
      </w:tr>
      <w:tr>
        <w:tc>
          <w:tcPr>
            <w:tcW w:type="dxa" w:w="1900"/>
          </w:tcPr>
          <w:p>
            <w:pPr>
              <w:spacing w:after="0"/>
              <w:jc w:val="center"/>
            </w:pPr>
            <w:r>
              <w:rPr>
                <w:rFonts w:ascii="Calibri" w:hAnsi="Calibri"/>
                <w:color w:val="111827"/>
                <w:sz w:val="18"/>
              </w:rPr>
              <w:t>Reported capacity</w:t>
            </w:r>
          </w:p>
        </w:tc>
        <w:tc>
          <w:tcPr>
            <w:tcW w:type="dxa" w:w="3800"/>
          </w:tcPr>
          <w:p>
            <w:pPr>
              <w:spacing w:after="0"/>
              <w:jc w:val="center"/>
            </w:pPr>
            <w:r>
              <w:rPr>
                <w:rFonts w:ascii="Calibri" w:hAnsi="Calibri"/>
                <w:color w:val="111827"/>
                <w:sz w:val="18"/>
              </w:rPr>
              <w:t>reported_failure_pressure_mpa</w:t>
            </w:r>
          </w:p>
        </w:tc>
        <w:tc>
          <w:tcPr>
            <w:tcW w:type="dxa" w:w="3660"/>
          </w:tcPr>
          <w:p>
            <w:pPr>
              <w:spacing w:after="0"/>
              <w:jc w:val="left"/>
            </w:pPr>
            <w:r>
              <w:rPr>
                <w:rFonts w:ascii="Calibri" w:hAnsi="Calibri"/>
                <w:color w:val="111827"/>
                <w:sz w:val="18"/>
              </w:rPr>
              <w:t>Optional screening comparison.</w:t>
            </w:r>
          </w:p>
        </w:tc>
      </w:tr>
      <w:tr>
        <w:tc>
          <w:tcPr>
            <w:tcW w:type="dxa" w:w="1900"/>
          </w:tcPr>
          <w:p>
            <w:pPr>
              <w:spacing w:after="0"/>
              <w:jc w:val="center"/>
            </w:pPr>
            <w:r>
              <w:rPr>
                <w:rFonts w:ascii="Calibri" w:hAnsi="Calibri"/>
                <w:color w:val="111827"/>
                <w:sz w:val="18"/>
              </w:rPr>
              <w:t>Raw MFL</w:t>
            </w:r>
          </w:p>
        </w:tc>
        <w:tc>
          <w:tcPr>
            <w:tcW w:type="dxa" w:w="3800"/>
          </w:tcPr>
          <w:p>
            <w:pPr>
              <w:spacing w:after="0"/>
              <w:jc w:val="center"/>
            </w:pPr>
            <w:r>
              <w:rPr>
                <w:rFonts w:ascii="Calibri" w:hAnsi="Calibri"/>
                <w:color w:val="111827"/>
                <w:sz w:val="18"/>
              </w:rPr>
              <w:t>axial_offset_mm, circumferential_offset_mm, depth_percent</w:t>
            </w:r>
          </w:p>
        </w:tc>
        <w:tc>
          <w:tcPr>
            <w:tcW w:type="dxa" w:w="3660"/>
          </w:tcPr>
          <w:p>
            <w:pPr>
              <w:spacing w:after="0"/>
              <w:jc w:val="left"/>
            </w:pPr>
            <w:r>
              <w:rPr>
                <w:rFonts w:ascii="Calibri" w:hAnsi="Calibri"/>
                <w:color w:val="111827"/>
                <w:sz w:val="18"/>
              </w:rPr>
              <w:t>Local metal-loss depth field and effective geometry.</w:t>
            </w:r>
          </w:p>
        </w:tc>
      </w:tr>
      <w:tr>
        <w:tc>
          <w:tcPr>
            <w:tcW w:type="dxa" w:w="1900"/>
          </w:tcPr>
          <w:p>
            <w:pPr>
              <w:spacing w:after="0"/>
              <w:jc w:val="center"/>
            </w:pPr>
            <w:r>
              <w:rPr>
                <w:rFonts w:ascii="Calibri" w:hAnsi="Calibri"/>
                <w:color w:val="111827"/>
                <w:sz w:val="18"/>
              </w:rPr>
              <w:t>Raw crack tool</w:t>
            </w:r>
          </w:p>
        </w:tc>
        <w:tc>
          <w:tcPr>
            <w:tcW w:type="dxa" w:w="3800"/>
          </w:tcPr>
          <w:p>
            <w:pPr>
              <w:spacing w:after="0"/>
              <w:jc w:val="center"/>
            </w:pPr>
            <w:r>
              <w:rPr>
                <w:rFonts w:ascii="Calibri" w:hAnsi="Calibri"/>
                <w:color w:val="111827"/>
                <w:sz w:val="18"/>
              </w:rPr>
              <w:t>axial_offset_mm, circumferential_offset_mm, depth_mm, opening_mm, crack_id, anomaly_type</w:t>
            </w:r>
          </w:p>
        </w:tc>
        <w:tc>
          <w:tcPr>
            <w:tcW w:type="dxa" w:w="3660"/>
          </w:tcPr>
          <w:p>
            <w:pPr>
              <w:spacing w:after="0"/>
              <w:jc w:val="left"/>
            </w:pPr>
            <w:r>
              <w:rPr>
                <w:rFonts w:ascii="Calibri" w:hAnsi="Calibri"/>
                <w:color w:val="111827"/>
                <w:sz w:val="18"/>
              </w:rPr>
              <w:t>Crack front/path, opening, SCC colony grouping, mesh-triangle removal.</w:t>
            </w:r>
          </w:p>
        </w:tc>
      </w:tr>
      <w:tr>
        <w:tc>
          <w:tcPr>
            <w:tcW w:type="dxa" w:w="1900"/>
          </w:tcPr>
          <w:p>
            <w:pPr>
              <w:spacing w:after="0"/>
              <w:jc w:val="center"/>
            </w:pPr>
            <w:r>
              <w:rPr>
                <w:rFonts w:ascii="Calibri" w:hAnsi="Calibri"/>
                <w:color w:val="111827"/>
                <w:sz w:val="18"/>
              </w:rPr>
              <w:t>Raw caliper</w:t>
            </w:r>
          </w:p>
        </w:tc>
        <w:tc>
          <w:tcPr>
            <w:tcW w:type="dxa" w:w="3800"/>
          </w:tcPr>
          <w:p>
            <w:pPr>
              <w:spacing w:after="0"/>
              <w:jc w:val="center"/>
            </w:pPr>
            <w:r>
              <w:rPr>
                <w:rFonts w:ascii="Calibri" w:hAnsi="Calibri"/>
                <w:color w:val="111827"/>
                <w:sz w:val="18"/>
              </w:rPr>
              <w:t>axial_offset_mm, circumferential_offset_mm, radial_deformation_mm</w:t>
            </w:r>
          </w:p>
        </w:tc>
        <w:tc>
          <w:tcPr>
            <w:tcW w:type="dxa" w:w="3660"/>
          </w:tcPr>
          <w:p>
            <w:pPr>
              <w:spacing w:after="0"/>
              <w:jc w:val="left"/>
            </w:pPr>
            <w:r>
              <w:rPr>
                <w:rFonts w:ascii="Calibri" w:hAnsi="Calibri"/>
                <w:color w:val="111827"/>
                <w:sz w:val="18"/>
              </w:rPr>
              <w:t>Dent surface displacement and curvature representation.</w:t>
            </w:r>
          </w:p>
        </w:tc>
      </w:tr>
    </w:tbl>
    <w:p>
      <w:pPr>
        <w:spacing w:after="40"/>
      </w:pPr>
    </w:p>
    <w:p>
      <w:pPr>
        <w:pStyle w:val="Heading2"/>
        <w:keepNext/>
      </w:pPr>
      <w:r>
        <w:t>Model-Control and Uncertainty Variables</w:t>
      </w:r>
    </w:p>
    <w:tbl>
      <w:tblPr>
        <w:tblStyle w:val="TableGrid"/>
        <w:tblW w:type="dxa" w:w="9360"/>
        <w:jc w:val="left"/>
        <w:tblLayout w:type="fixed"/>
        <w:tblLook w:firstColumn="1" w:firstRow="1" w:lastColumn="0" w:lastRow="0" w:noHBand="0" w:noVBand="1" w:val="04A0"/>
        <w:tblInd w:w="120" w:type="dxa"/>
      </w:tblPr>
      <w:tblGrid>
        <w:gridCol w:w="2450"/>
        <w:gridCol w:w="3020"/>
        <w:gridCol w:w="3890"/>
      </w:tblGrid>
      <w:tr>
        <w:trPr>
          <w:tblHeader w:val="true"/>
        </w:trPr>
        <w:tc>
          <w:tcPr>
            <w:tcW w:type="dxa" w:w="2450"/>
            <w:tcMar>
              <w:top w:w="80" w:type="dxa"/>
              <w:start w:w="120" w:type="dxa"/>
              <w:bottom w:w="80" w:type="dxa"/>
              <w:end w:w="120" w:type="dxa"/>
            </w:tcMar>
            <w:vAlign w:val="center"/>
            <w:shd w:fill="F4F6F9"/>
          </w:tcPr>
          <w:p>
            <w:pPr>
              <w:spacing w:after="0"/>
              <w:jc w:val="center"/>
            </w:pPr>
            <w:r>
              <w:rPr>
                <w:rFonts w:ascii="Calibri" w:hAnsi="Calibri"/>
                <w:b/>
                <w:color w:val="1F4D78"/>
                <w:sz w:val="18"/>
              </w:rPr>
              <w:t>Field</w:t>
            </w:r>
          </w:p>
        </w:tc>
        <w:tc>
          <w:tcPr>
            <w:tcW w:type="dxa" w:w="3020"/>
            <w:tcMar>
              <w:top w:w="80" w:type="dxa"/>
              <w:start w:w="120" w:type="dxa"/>
              <w:bottom w:w="80" w:type="dxa"/>
              <w:end w:w="120" w:type="dxa"/>
            </w:tcMar>
            <w:vAlign w:val="center"/>
            <w:shd w:fill="F4F6F9"/>
          </w:tcPr>
          <w:p>
            <w:pPr>
              <w:spacing w:after="0"/>
              <w:jc w:val="center"/>
            </w:pPr>
            <w:r>
              <w:rPr>
                <w:rFonts w:ascii="Calibri" w:hAnsi="Calibri"/>
                <w:b/>
                <w:color w:val="1F4D78"/>
                <w:sz w:val="18"/>
              </w:rPr>
              <w:t>Allowed/current meaning</w:t>
            </w:r>
          </w:p>
        </w:tc>
        <w:tc>
          <w:tcPr>
            <w:tcW w:type="dxa" w:w="3890"/>
            <w:tcMar>
              <w:top w:w="80" w:type="dxa"/>
              <w:start w:w="120" w:type="dxa"/>
              <w:bottom w:w="80" w:type="dxa"/>
              <w:end w:w="120" w:type="dxa"/>
            </w:tcMar>
            <w:vAlign w:val="center"/>
            <w:shd w:fill="F4F6F9"/>
          </w:tcPr>
          <w:p>
            <w:pPr>
              <w:spacing w:after="0"/>
              <w:jc w:val="center"/>
            </w:pPr>
            <w:r>
              <w:rPr>
                <w:rFonts w:ascii="Calibri" w:hAnsi="Calibri"/>
                <w:b/>
                <w:color w:val="1F4D78"/>
                <w:sz w:val="18"/>
              </w:rPr>
              <w:t>Calculation effect</w:t>
            </w:r>
          </w:p>
        </w:tc>
      </w:tr>
      <w:tr>
        <w:tc>
          <w:tcPr>
            <w:tcW w:type="dxa" w:w="2450"/>
          </w:tcPr>
          <w:p>
            <w:pPr>
              <w:spacing w:after="0"/>
              <w:jc w:val="center"/>
            </w:pPr>
            <w:r>
              <w:rPr>
                <w:rFonts w:ascii="Calibri" w:hAnsi="Calibri"/>
                <w:color w:val="111827"/>
                <w:sz w:val="18"/>
              </w:rPr>
              <w:t>geometry_source</w:t>
            </w:r>
          </w:p>
        </w:tc>
        <w:tc>
          <w:tcPr>
            <w:tcW w:type="dxa" w:w="3020"/>
          </w:tcPr>
          <w:p>
            <w:pPr>
              <w:spacing w:after="0"/>
              <w:jc w:val="center"/>
            </w:pPr>
            <w:r>
              <w:rPr>
                <w:rFonts w:ascii="Calibri" w:hAnsi="Calibri"/>
                <w:color w:val="111827"/>
                <w:sz w:val="18"/>
              </w:rPr>
              <w:t>auto, raw, feature</w:t>
            </w:r>
          </w:p>
        </w:tc>
        <w:tc>
          <w:tcPr>
            <w:tcW w:type="dxa" w:w="3890"/>
          </w:tcPr>
          <w:p>
            <w:pPr>
              <w:spacing w:after="0"/>
              <w:jc w:val="left"/>
            </w:pPr>
            <w:r>
              <w:rPr>
                <w:rFonts w:ascii="Calibri" w:hAnsi="Calibri"/>
                <w:color w:val="111827"/>
                <w:sz w:val="18"/>
              </w:rPr>
              <w:t>Selects raw-tool geometry or summarized feature fallback.</w:t>
            </w:r>
          </w:p>
        </w:tc>
      </w:tr>
      <w:tr>
        <w:tc>
          <w:tcPr>
            <w:tcW w:type="dxa" w:w="2450"/>
          </w:tcPr>
          <w:p>
            <w:pPr>
              <w:spacing w:after="0"/>
              <w:jc w:val="center"/>
            </w:pPr>
            <w:r>
              <w:rPr>
                <w:rFonts w:ascii="Calibri" w:hAnsi="Calibri"/>
                <w:color w:val="111827"/>
                <w:sz w:val="18"/>
              </w:rPr>
              <w:t>interaction_distance_mm</w:t>
            </w:r>
          </w:p>
        </w:tc>
        <w:tc>
          <w:tcPr>
            <w:tcW w:type="dxa" w:w="3020"/>
          </w:tcPr>
          <w:p>
            <w:pPr>
              <w:spacing w:after="0"/>
              <w:jc w:val="center"/>
            </w:pPr>
            <w:r>
              <w:rPr>
                <w:rFonts w:ascii="Calibri" w:hAnsi="Calibri"/>
                <w:color w:val="111827"/>
                <w:sz w:val="18"/>
              </w:rPr>
              <w:t>&gt;= 0</w:t>
            </w:r>
          </w:p>
        </w:tc>
        <w:tc>
          <w:tcPr>
            <w:tcW w:type="dxa" w:w="3890"/>
          </w:tcPr>
          <w:p>
            <w:pPr>
              <w:spacing w:after="0"/>
              <w:jc w:val="left"/>
            </w:pPr>
            <w:r>
              <w:rPr>
                <w:rFonts w:ascii="Calibri" w:hAnsi="Calibri"/>
                <w:color w:val="111827"/>
                <w:sz w:val="18"/>
              </w:rPr>
              <w:t>Maximum axial edge spacing for pair-model creation.</w:t>
            </w:r>
          </w:p>
        </w:tc>
      </w:tr>
      <w:tr>
        <w:tc>
          <w:tcPr>
            <w:tcW w:type="dxa" w:w="2450"/>
          </w:tcPr>
          <w:p>
            <w:pPr>
              <w:spacing w:after="0"/>
              <w:jc w:val="center"/>
            </w:pPr>
            <w:r>
              <w:rPr>
                <w:rFonts w:ascii="Calibri" w:hAnsi="Calibri"/>
                <w:color w:val="111827"/>
                <w:sz w:val="18"/>
              </w:rPr>
              <w:t>sizing_case</w:t>
            </w:r>
          </w:p>
        </w:tc>
        <w:tc>
          <w:tcPr>
            <w:tcW w:type="dxa" w:w="3020"/>
          </w:tcPr>
          <w:p>
            <w:pPr>
              <w:spacing w:after="0"/>
              <w:jc w:val="center"/>
            </w:pPr>
            <w:r>
              <w:rPr>
                <w:rFonts w:ascii="Calibri" w:hAnsi="Calibri"/>
                <w:color w:val="111827"/>
                <w:sz w:val="18"/>
              </w:rPr>
              <w:t>nominal, conservative, probabilistic</w:t>
            </w:r>
          </w:p>
        </w:tc>
        <w:tc>
          <w:tcPr>
            <w:tcW w:type="dxa" w:w="3890"/>
          </w:tcPr>
          <w:p>
            <w:pPr>
              <w:spacing w:after="0"/>
              <w:jc w:val="left"/>
            </w:pPr>
            <w:r>
              <w:rPr>
                <w:rFonts w:ascii="Calibri" w:hAnsi="Calibri"/>
                <w:color w:val="111827"/>
                <w:sz w:val="18"/>
              </w:rPr>
              <w:t>Applies inspection tolerances and interaction multiplier.</w:t>
            </w:r>
          </w:p>
        </w:tc>
      </w:tr>
      <w:tr>
        <w:tc>
          <w:tcPr>
            <w:tcW w:type="dxa" w:w="2450"/>
          </w:tcPr>
          <w:p>
            <w:pPr>
              <w:spacing w:after="0"/>
              <w:jc w:val="center"/>
            </w:pPr>
            <w:r>
              <w:rPr>
                <w:rFonts w:ascii="Calibri" w:hAnsi="Calibri"/>
                <w:color w:val="111827"/>
                <w:sz w:val="18"/>
              </w:rPr>
              <w:t>mesh_refinement</w:t>
            </w:r>
          </w:p>
        </w:tc>
        <w:tc>
          <w:tcPr>
            <w:tcW w:type="dxa" w:w="3020"/>
          </w:tcPr>
          <w:p>
            <w:pPr>
              <w:spacing w:after="0"/>
              <w:jc w:val="center"/>
            </w:pPr>
            <w:r>
              <w:rPr>
                <w:rFonts w:ascii="Calibri" w:hAnsi="Calibri"/>
                <w:color w:val="111827"/>
                <w:sz w:val="18"/>
              </w:rPr>
              <w:t>coarse, standard, fine</w:t>
            </w:r>
          </w:p>
        </w:tc>
        <w:tc>
          <w:tcPr>
            <w:tcW w:type="dxa" w:w="3890"/>
          </w:tcPr>
          <w:p>
            <w:pPr>
              <w:spacing w:after="0"/>
              <w:jc w:val="left"/>
            </w:pPr>
            <w:r>
              <w:rPr>
                <w:rFonts w:ascii="Calibri" w:hAnsi="Calibri"/>
                <w:color w:val="111827"/>
                <w:sz w:val="18"/>
              </w:rPr>
              <w:t>Base grid and local subdivision: 3, 4, or 5.</w:t>
            </w:r>
          </w:p>
        </w:tc>
      </w:tr>
      <w:tr>
        <w:tc>
          <w:tcPr>
            <w:tcW w:type="dxa" w:w="2450"/>
          </w:tcPr>
          <w:p>
            <w:pPr>
              <w:spacing w:after="0"/>
              <w:jc w:val="center"/>
            </w:pPr>
            <w:r>
              <w:rPr>
                <w:rFonts w:ascii="Calibri" w:hAnsi="Calibri"/>
                <w:color w:val="111827"/>
                <w:sz w:val="18"/>
              </w:rPr>
              <w:t>solver_strategy</w:t>
            </w:r>
          </w:p>
        </w:tc>
        <w:tc>
          <w:tcPr>
            <w:tcW w:type="dxa" w:w="3020"/>
          </w:tcPr>
          <w:p>
            <w:pPr>
              <w:spacing w:after="0"/>
              <w:jc w:val="center"/>
            </w:pPr>
            <w:r>
              <w:rPr>
                <w:rFonts w:ascii="Calibri" w:hAnsi="Calibri"/>
                <w:color w:val="111827"/>
                <w:sz w:val="18"/>
              </w:rPr>
              <w:t>implicit Riks, Newton-Raphson, explicit quasi-static</w:t>
            </w:r>
          </w:p>
        </w:tc>
        <w:tc>
          <w:tcPr>
            <w:tcW w:type="dxa" w:w="3890"/>
          </w:tcPr>
          <w:p>
            <w:pPr>
              <w:spacing w:after="0"/>
              <w:jc w:val="left"/>
            </w:pPr>
            <w:r>
              <w:rPr>
                <w:rFonts w:ascii="Calibri" w:hAnsi="Calibri"/>
                <w:color w:val="111827"/>
                <w:sz w:val="18"/>
              </w:rPr>
              <w:t>Model-ready metadata; browser does not execute a nonlinear solver.</w:t>
            </w:r>
          </w:p>
        </w:tc>
      </w:tr>
      <w:tr>
        <w:tc>
          <w:tcPr>
            <w:tcW w:type="dxa" w:w="2450"/>
          </w:tcPr>
          <w:p>
            <w:pPr>
              <w:spacing w:after="0"/>
              <w:jc w:val="center"/>
            </w:pPr>
            <w:r>
              <w:rPr>
                <w:rFonts w:ascii="Calibri" w:hAnsi="Calibri"/>
                <w:color w:val="111827"/>
                <w:sz w:val="18"/>
              </w:rPr>
              <w:t>screening_method</w:t>
            </w:r>
          </w:p>
        </w:tc>
        <w:tc>
          <w:tcPr>
            <w:tcW w:type="dxa" w:w="3020"/>
          </w:tcPr>
          <w:p>
            <w:pPr>
              <w:spacing w:after="0"/>
              <w:jc w:val="center"/>
            </w:pPr>
            <w:r>
              <w:rPr>
                <w:rFonts w:ascii="Calibri" w:hAnsi="Calibri"/>
                <w:color w:val="111827"/>
                <w:sz w:val="18"/>
              </w:rPr>
              <w:t>B31G-family, RSTRENG, CorLAS, SCC</w:t>
            </w:r>
          </w:p>
        </w:tc>
        <w:tc>
          <w:tcPr>
            <w:tcW w:type="dxa" w:w="3890"/>
          </w:tcPr>
          <w:p>
            <w:pPr>
              <w:spacing w:after="0"/>
              <w:jc w:val="left"/>
            </w:pPr>
            <w:r>
              <w:rPr>
                <w:rFonts w:ascii="Calibri" w:hAnsi="Calibri"/>
                <w:color w:val="111827"/>
                <w:sz w:val="18"/>
              </w:rPr>
              <w:t>Primary isolated-feature method.</w:t>
            </w:r>
          </w:p>
        </w:tc>
      </w:tr>
      <w:tr>
        <w:tc>
          <w:tcPr>
            <w:tcW w:type="dxa" w:w="2450"/>
          </w:tcPr>
          <w:p>
            <w:pPr>
              <w:spacing w:after="0"/>
              <w:jc w:val="center"/>
            </w:pPr>
            <w:r>
              <w:rPr>
                <w:rFonts w:ascii="Calibri" w:hAnsi="Calibri"/>
                <w:color w:val="111827"/>
                <w:sz w:val="18"/>
              </w:rPr>
              <w:t>class_location</w:t>
            </w:r>
          </w:p>
        </w:tc>
        <w:tc>
          <w:tcPr>
            <w:tcW w:type="dxa" w:w="3020"/>
          </w:tcPr>
          <w:p>
            <w:pPr>
              <w:spacing w:after="0"/>
              <w:jc w:val="center"/>
            </w:pPr>
            <w:r>
              <w:rPr>
                <w:rFonts w:ascii="Calibri" w:hAnsi="Calibri"/>
                <w:color w:val="111827"/>
                <w:sz w:val="18"/>
              </w:rPr>
              <w:t>1 to 4</w:t>
            </w:r>
          </w:p>
        </w:tc>
        <w:tc>
          <w:tcPr>
            <w:tcW w:type="dxa" w:w="3890"/>
          </w:tcPr>
          <w:p>
            <w:pPr>
              <w:spacing w:after="0"/>
              <w:jc w:val="left"/>
            </w:pPr>
            <w:r>
              <w:rPr>
                <w:rFonts w:ascii="Calibri" w:hAnsi="Calibri"/>
                <w:color w:val="111827"/>
                <w:sz w:val="18"/>
              </w:rPr>
              <w:t>Risk ranking multiplier.</w:t>
            </w:r>
          </w:p>
        </w:tc>
      </w:tr>
      <w:tr>
        <w:tc>
          <w:tcPr>
            <w:tcW w:type="dxa" w:w="2450"/>
          </w:tcPr>
          <w:p>
            <w:pPr>
              <w:spacing w:after="0"/>
              <w:jc w:val="center"/>
            </w:pPr>
            <w:r>
              <w:rPr>
                <w:rFonts w:ascii="Calibri" w:hAnsi="Calibri"/>
                <w:color w:val="111827"/>
                <w:sz w:val="18"/>
              </w:rPr>
              <w:t>surrogate_model</w:t>
            </w:r>
          </w:p>
        </w:tc>
        <w:tc>
          <w:tcPr>
            <w:tcW w:type="dxa" w:w="3020"/>
          </w:tcPr>
          <w:p>
            <w:pPr>
              <w:spacing w:after="0"/>
              <w:jc w:val="center"/>
            </w:pPr>
            <w:r>
              <w:rPr>
                <w:rFonts w:ascii="Calibri" w:hAnsi="Calibri"/>
                <w:color w:val="111827"/>
                <w:sz w:val="18"/>
              </w:rPr>
              <w:t>ANN or DNN</w:t>
            </w:r>
          </w:p>
        </w:tc>
        <w:tc>
          <w:tcPr>
            <w:tcW w:type="dxa" w:w="3890"/>
          </w:tcPr>
          <w:p>
            <w:pPr>
              <w:spacing w:after="0"/>
              <w:jc w:val="left"/>
            </w:pPr>
            <w:r>
              <w:rPr>
                <w:rFonts w:ascii="Calibri" w:hAnsi="Calibri"/>
                <w:color w:val="111827"/>
                <w:sz w:val="18"/>
              </w:rPr>
              <w:t>Selects embedded corrosion response surface.</w:t>
            </w:r>
          </w:p>
        </w:tc>
      </w:tr>
      <w:tr>
        <w:tc>
          <w:tcPr>
            <w:tcW w:type="dxa" w:w="2450"/>
          </w:tcPr>
          <w:p>
            <w:pPr>
              <w:spacing w:after="0"/>
              <w:jc w:val="center"/>
            </w:pPr>
            <w:r>
              <w:rPr>
                <w:rFonts w:ascii="Calibri" w:hAnsi="Calibri"/>
                <w:color w:val="111827"/>
                <w:sz w:val="18"/>
              </w:rPr>
              <w:t>reliability_samples</w:t>
            </w:r>
          </w:p>
        </w:tc>
        <w:tc>
          <w:tcPr>
            <w:tcW w:type="dxa" w:w="3020"/>
          </w:tcPr>
          <w:p>
            <w:pPr>
              <w:spacing w:after="0"/>
              <w:jc w:val="center"/>
            </w:pPr>
            <w:r>
              <w:rPr>
                <w:rFonts w:ascii="Calibri" w:hAnsi="Calibri"/>
                <w:color w:val="111827"/>
                <w:sz w:val="18"/>
              </w:rPr>
              <w:t>500 to 50,000</w:t>
            </w:r>
          </w:p>
        </w:tc>
        <w:tc>
          <w:tcPr>
            <w:tcW w:type="dxa" w:w="3890"/>
          </w:tcPr>
          <w:p>
            <w:pPr>
              <w:spacing w:after="0"/>
              <w:jc w:val="left"/>
            </w:pPr>
            <w:r>
              <w:rPr>
                <w:rFonts w:ascii="Calibri" w:hAnsi="Calibri"/>
                <w:color w:val="111827"/>
                <w:sz w:val="18"/>
              </w:rPr>
              <w:t>Monte Carlo sample count.</w:t>
            </w:r>
          </w:p>
        </w:tc>
      </w:tr>
      <w:tr>
        <w:tc>
          <w:tcPr>
            <w:tcW w:type="dxa" w:w="2450"/>
          </w:tcPr>
          <w:p>
            <w:pPr>
              <w:spacing w:after="0"/>
              <w:jc w:val="center"/>
            </w:pPr>
            <w:r>
              <w:rPr>
                <w:rFonts w:ascii="Calibri" w:hAnsi="Calibri"/>
                <w:color w:val="111827"/>
                <w:sz w:val="18"/>
              </w:rPr>
              <w:t>depth_cov</w:t>
            </w:r>
          </w:p>
        </w:tc>
        <w:tc>
          <w:tcPr>
            <w:tcW w:type="dxa" w:w="3020"/>
          </w:tcPr>
          <w:p>
            <w:pPr>
              <w:spacing w:after="0"/>
              <w:jc w:val="center"/>
            </w:pPr>
            <w:r>
              <w:rPr>
                <w:rFonts w:ascii="Calibri" w:hAnsi="Calibri"/>
                <w:color w:val="111827"/>
                <w:sz w:val="18"/>
              </w:rPr>
              <w:t>-</w:t>
            </w:r>
          </w:p>
        </w:tc>
        <w:tc>
          <w:tcPr>
            <w:tcW w:type="dxa" w:w="3890"/>
          </w:tcPr>
          <w:p>
            <w:pPr>
              <w:spacing w:after="0"/>
              <w:jc w:val="left"/>
            </w:pPr>
            <w:r>
              <w:rPr>
                <w:rFonts w:ascii="Calibri" w:hAnsi="Calibri"/>
                <w:color w:val="111827"/>
                <w:sz w:val="18"/>
              </w:rPr>
              <w:t>Coefficient of variation for depth and scaled length sampling.</w:t>
            </w:r>
          </w:p>
        </w:tc>
      </w:tr>
      <w:tr>
        <w:tc>
          <w:tcPr>
            <w:tcW w:type="dxa" w:w="2450"/>
          </w:tcPr>
          <w:p>
            <w:pPr>
              <w:spacing w:after="0"/>
              <w:jc w:val="center"/>
            </w:pPr>
            <w:r>
              <w:rPr>
                <w:rFonts w:ascii="Calibri" w:hAnsi="Calibri"/>
                <w:color w:val="111827"/>
                <w:sz w:val="18"/>
              </w:rPr>
              <w:t>pressure_cov</w:t>
            </w:r>
          </w:p>
        </w:tc>
        <w:tc>
          <w:tcPr>
            <w:tcW w:type="dxa" w:w="3020"/>
          </w:tcPr>
          <w:p>
            <w:pPr>
              <w:spacing w:after="0"/>
              <w:jc w:val="center"/>
            </w:pPr>
            <w:r>
              <w:rPr>
                <w:rFonts w:ascii="Calibri" w:hAnsi="Calibri"/>
                <w:color w:val="111827"/>
                <w:sz w:val="18"/>
              </w:rPr>
              <w:t>-</w:t>
            </w:r>
          </w:p>
        </w:tc>
        <w:tc>
          <w:tcPr>
            <w:tcW w:type="dxa" w:w="3890"/>
          </w:tcPr>
          <w:p>
            <w:pPr>
              <w:spacing w:after="0"/>
              <w:jc w:val="left"/>
            </w:pPr>
            <w:r>
              <w:rPr>
                <w:rFonts w:ascii="Calibri" w:hAnsi="Calibri"/>
                <w:color w:val="111827"/>
                <w:sz w:val="18"/>
              </w:rPr>
              <w:t>Pressure-demand coefficient of variation.</w:t>
            </w:r>
          </w:p>
        </w:tc>
      </w:tr>
      <w:tr>
        <w:tc>
          <w:tcPr>
            <w:tcW w:type="dxa" w:w="2450"/>
          </w:tcPr>
          <w:p>
            <w:pPr>
              <w:spacing w:after="0"/>
              <w:jc w:val="center"/>
            </w:pPr>
            <w:r>
              <w:rPr>
                <w:rFonts w:ascii="Calibri" w:hAnsi="Calibri"/>
                <w:color w:val="111827"/>
                <w:sz w:val="18"/>
              </w:rPr>
              <w:t>model_error_cov</w:t>
            </w:r>
          </w:p>
        </w:tc>
        <w:tc>
          <w:tcPr>
            <w:tcW w:type="dxa" w:w="3020"/>
          </w:tcPr>
          <w:p>
            <w:pPr>
              <w:spacing w:after="0"/>
              <w:jc w:val="center"/>
            </w:pPr>
            <w:r>
              <w:rPr>
                <w:rFonts w:ascii="Calibri" w:hAnsi="Calibri"/>
                <w:color w:val="111827"/>
                <w:sz w:val="18"/>
              </w:rPr>
              <w:t>-</w:t>
            </w:r>
          </w:p>
        </w:tc>
        <w:tc>
          <w:tcPr>
            <w:tcW w:type="dxa" w:w="3890"/>
          </w:tcPr>
          <w:p>
            <w:pPr>
              <w:spacing w:after="0"/>
              <w:jc w:val="left"/>
            </w:pPr>
            <w:r>
              <w:rPr>
                <w:rFonts w:ascii="Calibri" w:hAnsi="Calibri"/>
                <w:color w:val="111827"/>
                <w:sz w:val="18"/>
              </w:rPr>
              <w:t>Multiplicative surrogate/model-form error.</w:t>
            </w:r>
          </w:p>
        </w:tc>
      </w:tr>
      <w:tr>
        <w:tc>
          <w:tcPr>
            <w:tcW w:type="dxa" w:w="2450"/>
          </w:tcPr>
          <w:p>
            <w:pPr>
              <w:spacing w:after="0"/>
              <w:jc w:val="center"/>
            </w:pPr>
            <w:r>
              <w:rPr>
                <w:rFonts w:ascii="Calibri" w:hAnsi="Calibri"/>
                <w:color w:val="111827"/>
                <w:sz w:val="18"/>
              </w:rPr>
              <w:t>strain_limit</w:t>
            </w:r>
          </w:p>
        </w:tc>
        <w:tc>
          <w:tcPr>
            <w:tcW w:type="dxa" w:w="3020"/>
          </w:tcPr>
          <w:p>
            <w:pPr>
              <w:spacing w:after="0"/>
              <w:jc w:val="center"/>
            </w:pPr>
            <w:r>
              <w:rPr>
                <w:rFonts w:ascii="Calibri" w:hAnsi="Calibri"/>
                <w:color w:val="111827"/>
                <w:sz w:val="18"/>
              </w:rPr>
              <w:t>fraction</w:t>
            </w:r>
          </w:p>
        </w:tc>
        <w:tc>
          <w:tcPr>
            <w:tcW w:type="dxa" w:w="3890"/>
          </w:tcPr>
          <w:p>
            <w:pPr>
              <w:spacing w:after="0"/>
              <w:jc w:val="left"/>
            </w:pPr>
            <w:r>
              <w:rPr>
                <w:rFonts w:ascii="Calibri" w:hAnsi="Calibri"/>
                <w:color w:val="111827"/>
                <w:sz w:val="18"/>
              </w:rPr>
              <w:t>B31.8-oriented screening threshold; default 0.06.</w:t>
            </w:r>
          </w:p>
        </w:tc>
      </w:tr>
      <w:tr>
        <w:tc>
          <w:tcPr>
            <w:tcW w:type="dxa" w:w="2450"/>
          </w:tcPr>
          <w:p>
            <w:pPr>
              <w:spacing w:after="0"/>
              <w:jc w:val="center"/>
            </w:pPr>
            <w:r>
              <w:rPr>
                <w:rFonts w:ascii="Calibri" w:hAnsi="Calibri"/>
                <w:color w:val="111827"/>
                <w:sz w:val="18"/>
              </w:rPr>
              <w:t>prediction_years, annual_growth_percent</w:t>
            </w:r>
          </w:p>
        </w:tc>
        <w:tc>
          <w:tcPr>
            <w:tcW w:type="dxa" w:w="3020"/>
          </w:tcPr>
          <w:p>
            <w:pPr>
              <w:spacing w:after="0"/>
              <w:jc w:val="center"/>
            </w:pPr>
            <w:r>
              <w:rPr>
                <w:rFonts w:ascii="Calibri" w:hAnsi="Calibri"/>
                <w:color w:val="111827"/>
                <w:sz w:val="18"/>
              </w:rPr>
              <w:t>years, %/year</w:t>
            </w:r>
          </w:p>
        </w:tc>
        <w:tc>
          <w:tcPr>
            <w:tcW w:type="dxa" w:w="3890"/>
          </w:tcPr>
          <w:p>
            <w:pPr>
              <w:spacing w:after="0"/>
              <w:jc w:val="left"/>
            </w:pPr>
            <w:r>
              <w:rPr>
                <w:rFonts w:ascii="Calibri" w:hAnsi="Calibri"/>
                <w:color w:val="111827"/>
                <w:sz w:val="18"/>
              </w:rPr>
              <w:t>Future depth and failure prediction in ILI ranking.</w:t>
            </w:r>
          </w:p>
        </w:tc>
      </w:tr>
    </w:tbl>
    <w:p>
      <w:pPr>
        <w:spacing w:after="40"/>
      </w:pPr>
    </w:p>
    <w:p>
      <w:r>
        <w:br w:type="page"/>
      </w:r>
    </w:p>
    <w:p>
      <w:pPr>
        <w:pStyle w:val="Heading1"/>
        <w:keepNext/>
      </w:pPr>
      <w:r>
        <w:t>Raw Equations Implemented in the Current Model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5F3"/>
          </w:tcPr>
          <w:p>
            <w:pPr>
              <w:spacing w:after="0"/>
            </w:pPr>
            <w:r>
              <w:rPr>
                <w:rFonts w:ascii="Calibri" w:hAnsi="Calibri"/>
                <w:b/>
                <w:color w:val="0B7A75"/>
                <w:sz w:val="21"/>
              </w:rPr>
              <w:t xml:space="preserve">Scope: </w:t>
            </w:r>
            <w:r>
              <w:rPr>
                <w:rFonts w:ascii="Calibri" w:hAnsi="Calibri"/>
                <w:color w:val="111827"/>
                <w:sz w:val="21"/>
              </w:rPr>
              <w:t>These are the equations executed by the present software. Some are standards-derived screening relations, some are literature-based fracture/fatigue relations, and some are explicitly identified engineering heuristics for interaction, visualization, or advisory ranking. They must not be confused with a completed nonlinear finite-element solve.</w:t>
            </w:r>
          </w:p>
        </w:tc>
      </w:tr>
    </w:tbl>
    <w:p>
      <w:pPr>
        <w:spacing w:after="20"/>
      </w:pPr>
    </w:p>
    <w:p>
      <w:pPr>
        <w:pStyle w:val="Heading2"/>
        <w:keepNext/>
      </w:pPr>
      <w:r>
        <w:t>Geometry Translation and Raw-Data Reconstruction</w:t>
      </w:r>
    </w:p>
    <w:p>
      <w:pPr>
        <w:pStyle w:val="Heading3"/>
        <w:keepNext/>
      </w:pPr>
      <w:r>
        <w:t>Clock-position conversion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theta = 30 h + 0.5 m  [degrees]</w:t>
            </w:r>
          </w:p>
          <w:p>
            <w:pPr>
              <w:spacing w:after="0"/>
              <w:jc w:val="center"/>
            </w:pPr>
            <w:r>
              <w:rPr>
                <w:rFonts w:ascii="Calibri" w:hAnsi="Calibri"/>
                <w:i/>
                <w:color w:val="6B7280"/>
                <w:sz w:val="18"/>
              </w:rPr>
              <w:t>h and m are the clock hour and minute.</w:t>
            </w:r>
          </w:p>
        </w:tc>
      </w:tr>
    </w:tbl>
    <w:p>
      <w:pPr>
        <w:spacing w:after="40"/>
      </w:pPr>
    </w:p>
    <w:p>
      <w:pPr>
        <w:pStyle w:val="Heading3"/>
        <w:keepNext/>
      </w:pPr>
      <w:r>
        <w:t>Axial model coordinate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x_i = 1000 (s_i - min(s))</w:t>
            </w:r>
          </w:p>
          <w:p>
            <w:pPr>
              <w:spacing w:after="0"/>
              <w:jc w:val="center"/>
            </w:pPr>
            <w:r>
              <w:rPr>
                <w:rFonts w:ascii="Calibri" w:hAnsi="Calibri"/>
                <w:i/>
                <w:color w:val="6B7280"/>
                <w:sz w:val="18"/>
              </w:rPr>
              <w:t>s_i is ILI chainage in metres; x_i is millimetres from the first feature.</w:t>
            </w:r>
          </w:p>
        </w:tc>
      </w:tr>
    </w:tbl>
    <w:p>
      <w:pPr>
        <w:spacing w:after="40"/>
      </w:pPr>
    </w:p>
    <w:p>
      <w:pPr>
        <w:pStyle w:val="Heading3"/>
        <w:keepNext/>
      </w:pPr>
      <w:r>
        <w:t>Depth conversion and ligament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d_i = (d_i,% / 100)t ;  t_rem,i = max(t - d_i, 0.01t)</w:t>
            </w:r>
          </w:p>
          <w:p>
            <w:pPr>
              <w:spacing w:after="0"/>
              <w:jc w:val="center"/>
            </w:pPr>
            <w:r>
              <w:rPr>
                <w:rFonts w:ascii="Calibri" w:hAnsi="Calibri"/>
                <w:i/>
                <w:color w:val="6B7280"/>
                <w:sz w:val="18"/>
              </w:rPr>
              <w:t>d_i is defect depth and t_rem is remaining ligament.</w:t>
            </w:r>
          </w:p>
        </w:tc>
      </w:tr>
    </w:tbl>
    <w:p>
      <w:pPr>
        <w:spacing w:after="40"/>
      </w:pPr>
    </w:p>
    <w:p>
      <w:pPr>
        <w:pStyle w:val="Heading3"/>
        <w:keepNext/>
      </w:pPr>
      <w:r>
        <w:t>MFL surface interpolation used by the renderer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w = exp[-1.7((Delta x/0.42L_v)^2 + (Delta theta/0.42Theta_v)^2)] ; Delta r_MFL = -0.42(d/t)w</w:t>
            </w:r>
          </w:p>
          <w:p>
            <w:pPr>
              <w:spacing w:after="0"/>
              <w:jc w:val="center"/>
            </w:pPr>
            <w:r>
              <w:rPr>
                <w:rFonts w:ascii="Calibri" w:hAnsi="Calibri"/>
                <w:i/>
                <w:color w:val="6B7280"/>
                <w:sz w:val="18"/>
              </w:rPr>
              <w:t>L_v and Theta_v are visualization footprints scaled from feature length and width. The coefficient is a rendering scale, not a physical radial displacement.</w:t>
            </w:r>
          </w:p>
        </w:tc>
      </w:tr>
    </w:tbl>
    <w:p>
      <w:pPr>
        <w:spacing w:after="40"/>
      </w:pPr>
    </w:p>
    <w:p>
      <w:pPr>
        <w:pStyle w:val="Heading3"/>
        <w:keepNext/>
      </w:pPr>
      <w:r>
        <w:t>Caliper surface interpolation used by the renderer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w = exp[-1.45((Delta x/0.48L_v)^2 + (Delta theta/0.48Theta_v)^2)] ; Delta r_cal = 0.34 clamp(delta_cal/t,-1.5,1.5)w</w:t>
            </w:r>
          </w:p>
          <w:p>
            <w:pPr>
              <w:spacing w:after="0"/>
              <w:jc w:val="center"/>
            </w:pPr>
            <w:r>
              <w:rPr>
                <w:rFonts w:ascii="Calibri" w:hAnsi="Calibri"/>
                <w:i/>
                <w:color w:val="6B7280"/>
                <w:sz w:val="18"/>
              </w:rPr>
              <w:t>delta_cal is measured radial deformation. The normalized surface displacement is a visual reconstruction rule.</w:t>
            </w:r>
          </w:p>
        </w:tc>
      </w:tr>
    </w:tbl>
    <w:p>
      <w:pPr>
        <w:spacing w:after="40"/>
      </w:pPr>
    </w:p>
    <w:p>
      <w:pPr>
        <w:pStyle w:val="Heading3"/>
        <w:keepNext/>
      </w:pPr>
      <w:r>
        <w:t>Crack path distance and void rule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d_seg = min ||q - [p_0 + clamp(((q-p_0).v)/(v.v),0,1)v]|| ; remove triangle if d_seg &lt; tau_crack</w:t>
            </w:r>
          </w:p>
          <w:p>
            <w:pPr>
              <w:spacing w:after="0"/>
              <w:jc w:val="center"/>
            </w:pPr>
            <w:r>
              <w:rPr>
                <w:rFonts w:ascii="Calibri" w:hAnsi="Calibri"/>
                <w:i/>
                <w:color w:val="6B7280"/>
                <w:sz w:val="18"/>
              </w:rPr>
              <w:t>The centroid of a surface triangle is tested against each crack polyline. tau_crack is 0.064, 0.048, or 0.038 visualization units for coarse, standard, or fine rendering.</w:t>
            </w:r>
          </w:p>
        </w:tc>
      </w:tr>
    </w:tbl>
    <w:p>
      <w:pPr>
        <w:spacing w:after="40"/>
      </w:pPr>
    </w:p>
    <w:p>
      <w:pPr>
        <w:pStyle w:val="Heading2"/>
        <w:keepNext/>
      </w:pPr>
      <w:r>
        <w:t>Pressure Capacity and Interaction</w:t>
      </w:r>
    </w:p>
    <w:p>
      <w:pPr>
        <w:pStyle w:val="Heading3"/>
        <w:keepNext/>
      </w:pPr>
      <w:r>
        <w:t>Flow stress and pristine pressure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sigma_flow = min(SMYS + 69 MPa, SMTS) ; P_flow = 2t sigma_flow / D ; P_0 = 2t SMTS / D</w:t>
            </w:r>
          </w:p>
          <w:p>
            <w:pPr>
              <w:spacing w:after="0"/>
              <w:jc w:val="center"/>
            </w:pPr>
            <w:r>
              <w:rPr>
                <w:rFonts w:ascii="Calibri" w:hAnsi="Calibri"/>
                <w:i/>
                <w:color w:val="6B7280"/>
                <w:sz w:val="18"/>
              </w:rPr>
              <w:t>P_flow supports screening; P_0 normalizes the ANN/DNN output.</w:t>
            </w:r>
          </w:p>
        </w:tc>
      </w:tr>
    </w:tbl>
    <w:p>
      <w:pPr>
        <w:spacing w:after="40"/>
      </w:pPr>
    </w:p>
    <w:p>
      <w:pPr>
        <w:spacing w:before="0" w:after="120" w:line="320" w:lineRule="auto"/>
      </w:pPr>
      <w:r>
        <w:rPr>
          <w:rFonts w:ascii="Calibri" w:hAnsi="Calibri"/>
          <w:b w:val="0"/>
          <w:i/>
          <w:color w:val="6B7280"/>
          <w:sz w:val="22"/>
        </w:rPr>
        <w:t>[1,3,7]</w:t>
      </w:r>
    </w:p>
    <w:p>
      <w:pPr>
        <w:pStyle w:val="Heading3"/>
        <w:keepNext/>
      </w:pPr>
      <w:r>
        <w:t>Modified B31.G geometry parameter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z = L^2/(Dt) ; M = sqrt(1 + 0.6275z - 0.003375z^2), z &lt;= 50 ; M = 3.3 + 0.032z, z &gt; 50</w:t>
            </w:r>
          </w:p>
          <w:p>
            <w:pPr>
              <w:spacing w:after="0"/>
              <w:jc w:val="center"/>
            </w:pPr>
            <w:r>
              <w:rPr>
                <w:rFonts w:ascii="Calibri" w:hAnsi="Calibri"/>
                <w:i/>
                <w:color w:val="6B7280"/>
                <w:sz w:val="18"/>
              </w:rPr>
              <w:t>M is the Folias bulging factor.</w:t>
            </w:r>
          </w:p>
        </w:tc>
      </w:tr>
    </w:tbl>
    <w:p>
      <w:pPr>
        <w:spacing w:after="40"/>
      </w:pPr>
    </w:p>
    <w:p>
      <w:pPr>
        <w:spacing w:before="0" w:after="120" w:line="320" w:lineRule="auto"/>
      </w:pPr>
      <w:r>
        <w:rPr>
          <w:rFonts w:ascii="Calibri" w:hAnsi="Calibri"/>
          <w:b w:val="0"/>
          <w:i/>
          <w:color w:val="6B7280"/>
          <w:sz w:val="22"/>
        </w:rPr>
        <w:t>[7,8]</w:t>
      </w:r>
    </w:p>
    <w:p>
      <w:pPr>
        <w:pStyle w:val="Heading3"/>
        <w:keepNext/>
      </w:pPr>
      <w:r>
        <w:t>Modified B31.G failure stress and pressure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sigma_f = sigma_flow [1 - 0.85(d/t)]/[1 - 0.85d/(tM)] ; P_f = 2t sigma_f/D</w:t>
            </w:r>
          </w:p>
          <w:p>
            <w:pPr>
              <w:spacing w:after="0"/>
              <w:jc w:val="center"/>
            </w:pPr>
            <w:r>
              <w:rPr>
                <w:rFonts w:ascii="Calibri" w:hAnsi="Calibri"/>
                <w:i/>
                <w:color w:val="6B7280"/>
                <w:sz w:val="18"/>
              </w:rPr>
              <w:t>The allowable pressure is F_a P_f.</w:t>
            </w:r>
          </w:p>
        </w:tc>
      </w:tr>
    </w:tbl>
    <w:p>
      <w:pPr>
        <w:spacing w:after="40"/>
      </w:pPr>
    </w:p>
    <w:p>
      <w:pPr>
        <w:spacing w:before="0" w:after="120" w:line="320" w:lineRule="auto"/>
      </w:pPr>
      <w:r>
        <w:rPr>
          <w:rFonts w:ascii="Calibri" w:hAnsi="Calibri"/>
          <w:b w:val="0"/>
          <w:i/>
          <w:color w:val="6B7280"/>
          <w:sz w:val="22"/>
        </w:rPr>
        <w:t>[7,8]</w:t>
      </w:r>
    </w:p>
    <w:p>
      <w:pPr>
        <w:pStyle w:val="Heading3"/>
        <w:keepNext/>
      </w:pPr>
      <w:r>
        <w:t>Crack fracture screen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sigma_fr = K_mat/[Y sqrt(pi a)] ; P_fr = sigma_fr / [(D/2t)cos^2(phi) + (D/4t)sin^2(phi)]</w:t>
            </w:r>
          </w:p>
          <w:p>
            <w:pPr>
              <w:spacing w:after="0"/>
              <w:jc w:val="center"/>
            </w:pPr>
            <w:r>
              <w:rPr>
                <w:rFonts w:ascii="Calibri" w:hAnsi="Calibri"/>
                <w:i/>
                <w:color w:val="6B7280"/>
                <w:sz w:val="18"/>
              </w:rPr>
              <w:t>Y = 1.12, a is crack depth in metres, and phi is crack orientation.</w:t>
            </w:r>
          </w:p>
        </w:tc>
      </w:tr>
    </w:tbl>
    <w:p>
      <w:pPr>
        <w:spacing w:after="40"/>
      </w:pPr>
    </w:p>
    <w:p>
      <w:pPr>
        <w:pStyle w:val="Heading3"/>
        <w:keepNext/>
      </w:pPr>
      <w:r>
        <w:t>Crack plastic-collapse cap</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P_pl = P_flow max[0.15, 1 - 0.35(d/t)] ; P_crack = min(P_fr, P_pl)</w:t>
            </w:r>
          </w:p>
          <w:p>
            <w:pPr>
              <w:spacing w:after="0"/>
              <w:jc w:val="center"/>
            </w:pPr>
            <w:r>
              <w:rPr>
                <w:rFonts w:ascii="Calibri" w:hAnsi="Calibri"/>
                <w:i/>
                <w:color w:val="6B7280"/>
                <w:sz w:val="18"/>
              </w:rPr>
              <w:t>This is the current simplified cap, not an API 579 FAD or full J-integral solution.</w:t>
            </w:r>
          </w:p>
        </w:tc>
      </w:tr>
    </w:tbl>
    <w:p>
      <w:pPr>
        <w:spacing w:after="40"/>
      </w:pPr>
    </w:p>
    <w:p>
      <w:pPr>
        <w:pStyle w:val="Heading3"/>
        <w:keepNext/>
      </w:pPr>
      <w:r>
        <w:t>Dent pressure screen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P_dent = P_flow/[1 + 8(d/D) + 0.55(d/t)]</w:t>
            </w:r>
          </w:p>
          <w:p>
            <w:pPr>
              <w:spacing w:after="0"/>
              <w:jc w:val="center"/>
            </w:pPr>
            <w:r>
              <w:rPr>
                <w:rFonts w:ascii="Calibri" w:hAnsi="Calibri"/>
                <w:i/>
                <w:color w:val="6B7280"/>
                <w:sz w:val="18"/>
              </w:rPr>
              <w:t>Current engineering screening relation; detailed dents require API RP 1183-compatible assessment and validated FEA [5,9].</w:t>
            </w:r>
          </w:p>
        </w:tc>
      </w:tr>
    </w:tbl>
    <w:p>
      <w:pPr>
        <w:spacing w:after="40"/>
      </w:pPr>
    </w:p>
    <w:p>
      <w:pPr>
        <w:pStyle w:val="Heading3"/>
        <w:keepNext/>
      </w:pPr>
      <w:r>
        <w:t>Normalized anomaly spacing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lambda_x = s_x/sqrt(Dt) ; lambda_theta = s_theta/sqrt(Dt) ; I_s = sqrt(lambda_x^2 + lambda_theta^2) ; q = exp(-0.55 I_s^2)</w:t>
            </w:r>
          </w:p>
          <w:p>
            <w:pPr>
              <w:spacing w:after="0"/>
              <w:jc w:val="center"/>
            </w:pPr>
            <w:r>
              <w:rPr>
                <w:rFonts w:ascii="Calibri" w:hAnsi="Calibri"/>
                <w:i/>
                <w:color w:val="6B7280"/>
                <w:sz w:val="18"/>
              </w:rPr>
              <w:t>s_x and s_theta are axial and circumferential edge spacing.</w:t>
            </w:r>
          </w:p>
        </w:tc>
      </w:tr>
    </w:tbl>
    <w:p>
      <w:pPr>
        <w:spacing w:after="40"/>
      </w:pPr>
    </w:p>
    <w:p>
      <w:pPr>
        <w:pStyle w:val="Heading3"/>
        <w:keepNext/>
      </w:pPr>
      <w:r>
        <w:t>Implemented interaction factor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F_I = clamp{1 + q[0.08 + 0.55(d_1/t+d_2/t)/2]F_mix F_unc + F_overlap, 1, 2.5}</w:t>
            </w:r>
          </w:p>
          <w:p>
            <w:pPr>
              <w:spacing w:after="0"/>
              <w:jc w:val="center"/>
            </w:pPr>
            <w:r>
              <w:rPr>
                <w:rFonts w:ascii="Calibri" w:hAnsi="Calibri"/>
                <w:i/>
                <w:color w:val="6B7280"/>
                <w:sz w:val="18"/>
              </w:rPr>
              <w:t>F_mix increases for mixed, crack-metal-loss, and dent-crack pairs; F_unc reflects sizing treatment. This is an explicit software heuristic, not a code equation.</w:t>
            </w:r>
          </w:p>
        </w:tc>
      </w:tr>
    </w:tbl>
    <w:p>
      <w:pPr>
        <w:spacing w:after="40"/>
      </w:pPr>
    </w:p>
    <w:p>
      <w:pPr>
        <w:pStyle w:val="Heading3"/>
        <w:keepNext/>
      </w:pPr>
      <w:r>
        <w:t>Combined-load modifier and pair pressure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F_L = 1 + 0.35|sigma_sec|/SMYS + 0.18f_res ; P_pair = min(P_f,1,P_f,2)/(F_I F_L)</w:t>
            </w:r>
          </w:p>
          <w:p>
            <w:pPr>
              <w:spacing w:after="0"/>
              <w:jc w:val="center"/>
            </w:pPr>
            <w:r>
              <w:rPr>
                <w:rFonts w:ascii="Calibri" w:hAnsi="Calibri"/>
                <w:i/>
                <w:color w:val="6B7280"/>
                <w:sz w:val="18"/>
              </w:rPr>
              <w:t>Pair allowable MOP is F_a P_pair.</w:t>
            </w:r>
          </w:p>
        </w:tc>
      </w:tr>
    </w:tbl>
    <w:p>
      <w:pPr>
        <w:spacing w:after="40"/>
      </w:pPr>
    </w:p>
    <w:p>
      <w:pPr>
        <w:pStyle w:val="Heading2"/>
        <w:keepNext/>
      </w:pPr>
      <w:r>
        <w:t>Fatigue, Strain, and Reliability</w:t>
      </w:r>
    </w:p>
    <w:p>
      <w:pPr>
        <w:pStyle w:val="Heading3"/>
        <w:keepNext/>
      </w:pPr>
      <w:r>
        <w:t>Pressure-to-stress and stress intensity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Delta sigma = Delta P[(D/2t)cos^2(phi) + (D/4t)sin^2(phi)] ; Delta K = Y Delta sigma sqrt(pi a)</w:t>
            </w:r>
          </w:p>
          <w:p>
            <w:pPr>
              <w:spacing w:after="0"/>
              <w:jc w:val="center"/>
            </w:pPr>
            <w:r>
              <w:rPr>
                <w:rFonts w:ascii="Calibri" w:hAnsi="Calibri"/>
                <w:i/>
                <w:color w:val="6B7280"/>
                <w:sz w:val="18"/>
              </w:rPr>
              <w:t>Closed-end axial contribution is orientation-dependent.</w:t>
            </w:r>
          </w:p>
        </w:tc>
      </w:tr>
    </w:tbl>
    <w:p>
      <w:pPr>
        <w:spacing w:after="40"/>
      </w:pPr>
    </w:p>
    <w:p>
      <w:pPr>
        <w:pStyle w:val="Heading3"/>
        <w:keepNext/>
      </w:pPr>
      <w:r>
        <w:t>Paris-law growth and life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da/dN = C(Delta K)^m ; N_rem approximately (a_crit-a_0)/[C(Delta K)^m]</w:t>
            </w:r>
          </w:p>
          <w:p>
            <w:pPr>
              <w:spacing w:after="0"/>
              <w:jc w:val="center"/>
            </w:pPr>
            <w:r>
              <w:rPr>
                <w:rFonts w:ascii="Calibri" w:hAnsi="Calibri"/>
                <w:i/>
                <w:color w:val="6B7280"/>
                <w:sz w:val="18"/>
              </w:rPr>
              <w:t>The interaction module uses the displayed constant-rate estimate; the standalone crack-growth module numerically integrates midpoint increments. Paris and Erdogan provide the classical basis [11].</w:t>
            </w:r>
          </w:p>
        </w:tc>
      </w:tr>
    </w:tbl>
    <w:p>
      <w:pPr>
        <w:spacing w:after="40"/>
      </w:pPr>
    </w:p>
    <w:p>
      <w:pPr>
        <w:pStyle w:val="Heading3"/>
        <w:keepNext/>
      </w:pPr>
      <w:r>
        <w:t>Interaction strain heuristic</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epsilon_eq = 0.002 + 0.08 max(d/t) + 0.035q + 0.01|sigma_sec|/SMYS</w:t>
            </w:r>
          </w:p>
          <w:p>
            <w:pPr>
              <w:spacing w:after="0"/>
              <w:jc w:val="center"/>
            </w:pPr>
            <w:r>
              <w:rPr>
                <w:rFonts w:ascii="Calibri" w:hAnsi="Calibri"/>
                <w:i/>
                <w:color w:val="6B7280"/>
                <w:sz w:val="18"/>
              </w:rPr>
              <w:t>This is a software screening heuristic and is not an FEA-computed equivalent plastic strain.</w:t>
            </w:r>
          </w:p>
        </w:tc>
      </w:tr>
    </w:tbl>
    <w:p>
      <w:pPr>
        <w:spacing w:after="40"/>
      </w:pPr>
    </w:p>
    <w:p>
      <w:pPr>
        <w:pStyle w:val="Heading3"/>
        <w:keepNext/>
      </w:pPr>
      <w:r>
        <w:t>Dent curvature strain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kappa = 2d/(L/2)^2 + 2d/(W/2)^2 ; epsilon_dent = t kappa/2 ; epsilon_max = max(epsilon_b + epsilon_dent, epsilon_pair)</w:t>
            </w:r>
          </w:p>
          <w:p>
            <w:pPr>
              <w:spacing w:after="0"/>
              <w:jc w:val="center"/>
            </w:pPr>
            <w:r>
              <w:rPr>
                <w:rFonts w:ascii="Calibri" w:hAnsi="Calibri"/>
                <w:i/>
                <w:color w:val="6B7280"/>
                <w:sz w:val="18"/>
              </w:rPr>
              <w:t>A geometric bending-strain screen used for B31.8/API RP 1183 triage [9,10].</w:t>
            </w:r>
          </w:p>
        </w:tc>
      </w:tr>
    </w:tbl>
    <w:p>
      <w:pPr>
        <w:spacing w:after="40"/>
      </w:pPr>
    </w:p>
    <w:p>
      <w:pPr>
        <w:pStyle w:val="Heading3"/>
        <w:keepNext/>
      </w:pPr>
      <w:r>
        <w:t>Monte Carlo demand and capacity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C_j = P_0 f_NN(x_j) max[N(1,COV_model),0.45] ; Q_j = P_MAOP max[N(1,COV_P),0.70]</w:t>
            </w:r>
          </w:p>
          <w:p>
            <w:pPr>
              <w:spacing w:after="0"/>
              <w:jc w:val="center"/>
            </w:pPr>
            <w:r>
              <w:rPr>
                <w:rFonts w:ascii="Calibri" w:hAnsi="Calibri"/>
                <w:i/>
                <w:color w:val="6B7280"/>
                <w:sz w:val="18"/>
              </w:rPr>
              <w:t>Depth and length are normally sampled and truncated to the surrogate domain.</w:t>
            </w:r>
          </w:p>
        </w:tc>
      </w:tr>
    </w:tbl>
    <w:p>
      <w:pPr>
        <w:spacing w:after="40"/>
      </w:pPr>
    </w:p>
    <w:p>
      <w:pPr>
        <w:pStyle w:val="Heading3"/>
        <w:keepNext/>
      </w:pPr>
      <w:r>
        <w:t>Probability of failure and reliability index</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P_f = count(Q_j &gt;= C_j)/N ; beta = -Phi^-1[(n_f+0.5)/(N+1)]</w:t>
            </w:r>
          </w:p>
          <w:p>
            <w:pPr>
              <w:spacing w:after="0"/>
              <w:jc w:val="center"/>
            </w:pPr>
            <w:r>
              <w:rPr>
                <w:rFonts w:ascii="Calibri" w:hAnsi="Calibri"/>
                <w:i/>
                <w:color w:val="6B7280"/>
                <w:sz w:val="18"/>
              </w:rPr>
              <w:t>A continuity correction prevents infinite beta when zero failures occur.</w:t>
            </w:r>
          </w:p>
        </w:tc>
      </w:tr>
    </w:tbl>
    <w:p>
      <w:pPr>
        <w:spacing w:after="40"/>
      </w:pPr>
    </w:p>
    <w:p>
      <w:pPr>
        <w:pStyle w:val="Heading3"/>
        <w:keepNext/>
      </w:pPr>
      <w:r>
        <w:t>Governing operating pressure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MOP_max = min(F_a P_isolated,i, F_a P_pair,k) ; U_MOP = P_MAOP/MOP_max</w:t>
            </w:r>
          </w:p>
          <w:p>
            <w:pPr>
              <w:spacing w:after="0"/>
              <w:jc w:val="center"/>
            </w:pPr>
            <w:r>
              <w:rPr>
                <w:rFonts w:ascii="Calibri" w:hAnsi="Calibri"/>
                <w:i/>
                <w:color w:val="6B7280"/>
                <w:sz w:val="18"/>
              </w:rPr>
              <w:t>The standards-based/interaction limit governs; the surrogate remains advisory.</w:t>
            </w:r>
          </w:p>
        </w:tc>
      </w:tr>
    </w:tbl>
    <w:p>
      <w:pPr>
        <w:spacing w:after="40"/>
      </w:pPr>
    </w:p>
    <w:p>
      <w:pPr>
        <w:pStyle w:val="Heading2"/>
        <w:keepNext/>
      </w:pPr>
      <w:r>
        <w:t>ANN and DNN Equations</w:t>
      </w:r>
    </w:p>
    <w:p>
      <w:pPr>
        <w:pStyle w:val="Heading3"/>
        <w:keepNext/>
      </w:pPr>
      <w:r>
        <w:t>Input normalization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x_1 = 2[(d/t)-0.2]/0.6 - 1 ; x_2 = 2[(L/D)-0.2]/1.6 - 1 ; x_3 = 2(s/sqrt(Dt))/3 - 1 ; x_4 = 2(sigma_ax/SMYS) - 1</w:t>
            </w:r>
          </w:p>
          <w:p>
            <w:pPr>
              <w:spacing w:after="0"/>
              <w:jc w:val="center"/>
            </w:pPr>
            <w:r>
              <w:rPr>
                <w:rFonts w:ascii="Calibri" w:hAnsi="Calibri"/>
                <w:i/>
                <w:color w:val="6B7280"/>
                <w:sz w:val="18"/>
              </w:rPr>
              <w:t>Inputs map the embedded publication domain to approximately [-1,1].</w:t>
            </w:r>
          </w:p>
        </w:tc>
      </w:tr>
    </w:tbl>
    <w:p>
      <w:pPr>
        <w:spacing w:after="40"/>
      </w:pPr>
    </w:p>
    <w:p>
      <w:pPr>
        <w:spacing w:before="0" w:after="120" w:line="320" w:lineRule="auto"/>
      </w:pPr>
      <w:r>
        <w:rPr>
          <w:rFonts w:ascii="Calibri" w:hAnsi="Calibri"/>
          <w:b w:val="0"/>
          <w:i/>
          <w:color w:val="6B7280"/>
          <w:sz w:val="22"/>
        </w:rPr>
        <w:t>[1,2]</w:t>
      </w:r>
    </w:p>
    <w:p>
      <w:pPr>
        <w:pStyle w:val="Heading3"/>
        <w:keepNext/>
      </w:pPr>
      <w:r>
        <w:t>Feed-forward propagation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h^(l) = tanh(h^(l-1)W^(l) + b^(l)) ; y = h^(L-1)W^(L) + b^(L) ; f_NN = clamp(y,0.05,1.05)</w:t>
            </w:r>
          </w:p>
          <w:p>
            <w:pPr>
              <w:spacing w:after="0"/>
              <w:jc w:val="center"/>
            </w:pPr>
            <w:r>
              <w:rPr>
                <w:rFonts w:ascii="Calibri" w:hAnsi="Calibri"/>
                <w:i/>
                <w:color w:val="6B7280"/>
                <w:sz w:val="18"/>
              </w:rPr>
              <w:t>ANN architecture: 4-8-1. DNN architecture: 4-10-6-1.</w:t>
            </w:r>
          </w:p>
        </w:tc>
      </w:tr>
    </w:tbl>
    <w:p>
      <w:pPr>
        <w:spacing w:after="40"/>
      </w:pPr>
    </w:p>
    <w:p>
      <w:pPr>
        <w:pStyle w:val="Heading3"/>
        <w:keepNext/>
      </w:pPr>
      <w:r>
        <w:t>Physical pressure conversion and advisory lower bound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P_NN = f_NN P_0 ; P_NN,lower = P_NN max[0.5, 1 - 1.645 COV_model]</w:t>
            </w:r>
          </w:p>
          <w:p>
            <w:pPr>
              <w:spacing w:after="0"/>
              <w:jc w:val="center"/>
            </w:pPr>
            <w:r>
              <w:rPr>
                <w:rFonts w:ascii="Calibri" w:hAnsi="Calibri"/>
                <w:i/>
                <w:color w:val="6B7280"/>
                <w:sz w:val="18"/>
              </w:rPr>
              <w:t>The advisory MOP is F_a P_NN,lower.</w:t>
            </w:r>
          </w:p>
        </w:tc>
      </w:tr>
    </w:tbl>
    <w:p>
      <w:pPr>
        <w:spacing w:after="40"/>
      </w:pPr>
    </w:p>
    <w:p>
      <w:r>
        <w:br w:type="page"/>
      </w:r>
    </w:p>
    <w:p>
      <w:pPr>
        <w:pStyle w:val="Heading1"/>
        <w:keepNext/>
      </w:pPr>
      <w:r>
        <w:t>5. Variable Mesh Density and Geometry Coupling</w:t>
      </w:r>
    </w:p>
    <w:p>
      <w:pPr>
        <w:spacing w:before="0" w:after="160" w:line="320" w:lineRule="auto"/>
      </w:pPr>
      <w:r>
        <w:rPr>
          <w:rFonts w:ascii="Calibri" w:hAnsi="Calibri"/>
          <w:b w:val="0"/>
          <w:i w:val="0"/>
          <w:color w:val="111827"/>
          <w:sz w:val="22"/>
        </w:rPr>
        <w:t>The renderer uses a single continuous shell geometry. It does not place an extra patch mesh on top of the pipe. Instead, each base surface cell is tested against the normalized footprint of every anomaly. The same base cell is subdivided before its triangles are created.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3F8"/>
          </w:tcPr>
          <w:p>
            <w:pPr>
              <w:spacing w:after="40"/>
              <w:jc w:val="center"/>
            </w:pPr>
            <w:r>
              <w:rPr>
                <w:rFonts w:ascii="Cambria" w:hAnsi="Cambria"/>
                <w:b/>
                <w:color w:val="1F4D78"/>
                <w:sz w:val="22"/>
              </w:rPr>
              <w:t>rho = sqrt[(Delta x/L_v)^2 + (Delta theta/Theta_v)^2] ; n = n_local if rho &lt;= 1 ; n = n_transition if 1 &lt; rho &lt;= 1.8 ; n = 1 otherwise</w:t>
            </w:r>
          </w:p>
          <w:p>
            <w:pPr>
              <w:spacing w:after="0"/>
              <w:jc w:val="center"/>
            </w:pPr>
            <w:r>
              <w:rPr>
                <w:rFonts w:ascii="Calibri" w:hAnsi="Calibri"/>
                <w:i/>
                <w:color w:val="6B7280"/>
                <w:sz w:val="18"/>
              </w:rPr>
              <w:t>n is the number of subdivisions along both cell directions.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50"/>
        <w:gridCol w:w="2350"/>
        <w:gridCol w:w="1800"/>
        <w:gridCol w:w="1700"/>
        <w:gridCol w:w="1760"/>
      </w:tblGrid>
      <w:tr>
        <w:trPr>
          <w:tblHeader w:val="true"/>
        </w:trPr>
        <w:tc>
          <w:tcPr>
            <w:tcW w:type="dxa" w:w="1750"/>
            <w:tcMar>
              <w:top w:w="80" w:type="dxa"/>
              <w:start w:w="120" w:type="dxa"/>
              <w:bottom w:w="80" w:type="dxa"/>
              <w:end w:w="120" w:type="dxa"/>
            </w:tcMar>
            <w:vAlign w:val="center"/>
            <w:shd w:fill="F4F6F9"/>
          </w:tcPr>
          <w:p>
            <w:pPr>
              <w:spacing w:after="0"/>
              <w:jc w:val="center"/>
            </w:pPr>
            <w:r>
              <w:rPr>
                <w:rFonts w:ascii="Calibri" w:hAnsi="Calibri"/>
                <w:b/>
                <w:color w:val="1F4D78"/>
                <w:sz w:val="18"/>
              </w:rPr>
              <w:t>Refinement</w:t>
            </w:r>
          </w:p>
        </w:tc>
        <w:tc>
          <w:tcPr>
            <w:tcW w:type="dxa" w:w="2350"/>
            <w:tcMar>
              <w:top w:w="80" w:type="dxa"/>
              <w:start w:w="120" w:type="dxa"/>
              <w:bottom w:w="80" w:type="dxa"/>
              <w:end w:w="120" w:type="dxa"/>
            </w:tcMar>
            <w:vAlign w:val="center"/>
            <w:shd w:fill="F4F6F9"/>
          </w:tcPr>
          <w:p>
            <w:pPr>
              <w:spacing w:after="0"/>
              <w:jc w:val="center"/>
            </w:pPr>
            <w:r>
              <w:rPr>
                <w:rFonts w:ascii="Calibri" w:hAnsi="Calibri"/>
                <w:b/>
                <w:color w:val="1F4D78"/>
                <w:sz w:val="18"/>
              </w:rPr>
              <w:t>Base grid</w:t>
            </w:r>
          </w:p>
        </w:tc>
        <w:tc>
          <w:tcPr>
            <w:tcW w:type="dxa" w:w="1800"/>
            <w:tcMar>
              <w:top w:w="80" w:type="dxa"/>
              <w:start w:w="120" w:type="dxa"/>
              <w:bottom w:w="80" w:type="dxa"/>
              <w:end w:w="120" w:type="dxa"/>
            </w:tcMar>
            <w:vAlign w:val="center"/>
            <w:shd w:fill="F4F6F9"/>
          </w:tcPr>
          <w:p>
            <w:pPr>
              <w:spacing w:after="0"/>
              <w:jc w:val="center"/>
            </w:pPr>
            <w:r>
              <w:rPr>
                <w:rFonts w:ascii="Calibri" w:hAnsi="Calibri"/>
                <w:b/>
                <w:color w:val="1F4D78"/>
                <w:sz w:val="18"/>
              </w:rPr>
              <w:t>Transition subdivision</w:t>
            </w:r>
          </w:p>
        </w:tc>
        <w:tc>
          <w:tcPr>
            <w:tcW w:type="dxa" w:w="1700"/>
            <w:tcMar>
              <w:top w:w="80" w:type="dxa"/>
              <w:start w:w="120" w:type="dxa"/>
              <w:bottom w:w="80" w:type="dxa"/>
              <w:end w:w="120" w:type="dxa"/>
            </w:tcMar>
            <w:vAlign w:val="center"/>
            <w:shd w:fill="F4F6F9"/>
          </w:tcPr>
          <w:p>
            <w:pPr>
              <w:spacing w:after="0"/>
              <w:jc w:val="center"/>
            </w:pPr>
            <w:r>
              <w:rPr>
                <w:rFonts w:ascii="Calibri" w:hAnsi="Calibri"/>
                <w:b/>
                <w:color w:val="1F4D78"/>
                <w:sz w:val="18"/>
              </w:rPr>
              <w:t>Local subdivision</w:t>
            </w:r>
          </w:p>
        </w:tc>
        <w:tc>
          <w:tcPr>
            <w:tcW w:type="dxa" w:w="1760"/>
            <w:tcMar>
              <w:top w:w="80" w:type="dxa"/>
              <w:start w:w="120" w:type="dxa"/>
              <w:bottom w:w="80" w:type="dxa"/>
              <w:end w:w="120" w:type="dxa"/>
            </w:tcMar>
            <w:vAlign w:val="center"/>
            <w:shd w:fill="F4F6F9"/>
          </w:tcPr>
          <w:p>
            <w:pPr>
              <w:spacing w:after="0"/>
              <w:jc w:val="center"/>
            </w:pPr>
            <w:r>
              <w:rPr>
                <w:rFonts w:ascii="Calibri" w:hAnsi="Calibri"/>
                <w:b/>
                <w:color w:val="1F4D78"/>
                <w:sz w:val="18"/>
              </w:rPr>
              <w:t>Local surface-cell density</w:t>
            </w:r>
          </w:p>
        </w:tc>
      </w:tr>
      <w:tr>
        <w:tc>
          <w:tcPr>
            <w:tcW w:type="dxa" w:w="1750"/>
          </w:tcPr>
          <w:p>
            <w:pPr>
              <w:spacing w:after="0"/>
              <w:jc w:val="center"/>
            </w:pPr>
            <w:r>
              <w:rPr>
                <w:rFonts w:ascii="Calibri" w:hAnsi="Calibri"/>
                <w:color w:val="111827"/>
                <w:sz w:val="18"/>
              </w:rPr>
              <w:t>Coarse</w:t>
            </w:r>
          </w:p>
        </w:tc>
        <w:tc>
          <w:tcPr>
            <w:tcW w:type="dxa" w:w="2350"/>
          </w:tcPr>
          <w:p>
            <w:pPr>
              <w:spacing w:after="0"/>
              <w:jc w:val="center"/>
            </w:pPr>
            <w:r>
              <w:rPr>
                <w:rFonts w:ascii="Calibri" w:hAnsi="Calibri"/>
                <w:color w:val="111827"/>
                <w:sz w:val="18"/>
              </w:rPr>
              <w:t>32 axial x 20 angular</w:t>
            </w:r>
          </w:p>
        </w:tc>
        <w:tc>
          <w:tcPr>
            <w:tcW w:type="dxa" w:w="1800"/>
          </w:tcPr>
          <w:p>
            <w:pPr>
              <w:spacing w:after="0"/>
              <w:jc w:val="center"/>
            </w:pPr>
            <w:r>
              <w:rPr>
                <w:rFonts w:ascii="Calibri" w:hAnsi="Calibri"/>
                <w:color w:val="111827"/>
                <w:sz w:val="18"/>
              </w:rPr>
              <w:t>2 x 2</w:t>
            </w:r>
          </w:p>
        </w:tc>
        <w:tc>
          <w:tcPr>
            <w:tcW w:type="dxa" w:w="1700"/>
          </w:tcPr>
          <w:p>
            <w:pPr>
              <w:spacing w:after="0"/>
              <w:jc w:val="center"/>
            </w:pPr>
            <w:r>
              <w:rPr>
                <w:rFonts w:ascii="Calibri" w:hAnsi="Calibri"/>
                <w:color w:val="111827"/>
                <w:sz w:val="18"/>
              </w:rPr>
              <w:t>3 x 3</w:t>
            </w:r>
          </w:p>
        </w:tc>
        <w:tc>
          <w:tcPr>
            <w:tcW w:type="dxa" w:w="1760"/>
          </w:tcPr>
          <w:p>
            <w:pPr>
              <w:spacing w:after="0"/>
              <w:jc w:val="left"/>
            </w:pPr>
            <w:r>
              <w:rPr>
                <w:rFonts w:ascii="Calibri" w:hAnsi="Calibri"/>
                <w:color w:val="111827"/>
                <w:sz w:val="18"/>
              </w:rPr>
              <w:t>9x remote</w:t>
            </w:r>
          </w:p>
        </w:tc>
      </w:tr>
      <w:tr>
        <w:tc>
          <w:tcPr>
            <w:tcW w:type="dxa" w:w="1750"/>
          </w:tcPr>
          <w:p>
            <w:pPr>
              <w:spacing w:after="0"/>
              <w:jc w:val="center"/>
            </w:pPr>
            <w:r>
              <w:rPr>
                <w:rFonts w:ascii="Calibri" w:hAnsi="Calibri"/>
                <w:color w:val="111827"/>
                <w:sz w:val="18"/>
              </w:rPr>
              <w:t>Standard</w:t>
            </w:r>
          </w:p>
        </w:tc>
        <w:tc>
          <w:tcPr>
            <w:tcW w:type="dxa" w:w="2350"/>
          </w:tcPr>
          <w:p>
            <w:pPr>
              <w:spacing w:after="0"/>
              <w:jc w:val="center"/>
            </w:pPr>
            <w:r>
              <w:rPr>
                <w:rFonts w:ascii="Calibri" w:hAnsi="Calibri"/>
                <w:color w:val="111827"/>
                <w:sz w:val="18"/>
              </w:rPr>
              <w:t>48 axial x 30 angular</w:t>
            </w:r>
          </w:p>
        </w:tc>
        <w:tc>
          <w:tcPr>
            <w:tcW w:type="dxa" w:w="1800"/>
          </w:tcPr>
          <w:p>
            <w:pPr>
              <w:spacing w:after="0"/>
              <w:jc w:val="center"/>
            </w:pPr>
            <w:r>
              <w:rPr>
                <w:rFonts w:ascii="Calibri" w:hAnsi="Calibri"/>
                <w:color w:val="111827"/>
                <w:sz w:val="18"/>
              </w:rPr>
              <w:t>2 x 2</w:t>
            </w:r>
          </w:p>
        </w:tc>
        <w:tc>
          <w:tcPr>
            <w:tcW w:type="dxa" w:w="1700"/>
          </w:tcPr>
          <w:p>
            <w:pPr>
              <w:spacing w:after="0"/>
              <w:jc w:val="center"/>
            </w:pPr>
            <w:r>
              <w:rPr>
                <w:rFonts w:ascii="Calibri" w:hAnsi="Calibri"/>
                <w:color w:val="111827"/>
                <w:sz w:val="18"/>
              </w:rPr>
              <w:t>4 x 4</w:t>
            </w:r>
          </w:p>
        </w:tc>
        <w:tc>
          <w:tcPr>
            <w:tcW w:type="dxa" w:w="1760"/>
          </w:tcPr>
          <w:p>
            <w:pPr>
              <w:spacing w:after="0"/>
              <w:jc w:val="left"/>
            </w:pPr>
            <w:r>
              <w:rPr>
                <w:rFonts w:ascii="Calibri" w:hAnsi="Calibri"/>
                <w:color w:val="111827"/>
                <w:sz w:val="18"/>
              </w:rPr>
              <w:t>16x remote</w:t>
            </w:r>
          </w:p>
        </w:tc>
      </w:tr>
      <w:tr>
        <w:tc>
          <w:tcPr>
            <w:tcW w:type="dxa" w:w="1750"/>
          </w:tcPr>
          <w:p>
            <w:pPr>
              <w:spacing w:after="0"/>
              <w:jc w:val="center"/>
            </w:pPr>
            <w:r>
              <w:rPr>
                <w:rFonts w:ascii="Calibri" w:hAnsi="Calibri"/>
                <w:color w:val="111827"/>
                <w:sz w:val="18"/>
              </w:rPr>
              <w:t>Fine</w:t>
            </w:r>
          </w:p>
        </w:tc>
        <w:tc>
          <w:tcPr>
            <w:tcW w:type="dxa" w:w="2350"/>
          </w:tcPr>
          <w:p>
            <w:pPr>
              <w:spacing w:after="0"/>
              <w:jc w:val="center"/>
            </w:pPr>
            <w:r>
              <w:rPr>
                <w:rFonts w:ascii="Calibri" w:hAnsi="Calibri"/>
                <w:color w:val="111827"/>
                <w:sz w:val="18"/>
              </w:rPr>
              <w:t>64 axial x 40 angular</w:t>
            </w:r>
          </w:p>
        </w:tc>
        <w:tc>
          <w:tcPr>
            <w:tcW w:type="dxa" w:w="1800"/>
          </w:tcPr>
          <w:p>
            <w:pPr>
              <w:spacing w:after="0"/>
              <w:jc w:val="center"/>
            </w:pPr>
            <w:r>
              <w:rPr>
                <w:rFonts w:ascii="Calibri" w:hAnsi="Calibri"/>
                <w:color w:val="111827"/>
                <w:sz w:val="18"/>
              </w:rPr>
              <w:t>3 x 3</w:t>
            </w:r>
          </w:p>
        </w:tc>
        <w:tc>
          <w:tcPr>
            <w:tcW w:type="dxa" w:w="1700"/>
          </w:tcPr>
          <w:p>
            <w:pPr>
              <w:spacing w:after="0"/>
              <w:jc w:val="center"/>
            </w:pPr>
            <w:r>
              <w:rPr>
                <w:rFonts w:ascii="Calibri" w:hAnsi="Calibri"/>
                <w:color w:val="111827"/>
                <w:sz w:val="18"/>
              </w:rPr>
              <w:t>5 x 5</w:t>
            </w:r>
          </w:p>
        </w:tc>
        <w:tc>
          <w:tcPr>
            <w:tcW w:type="dxa" w:w="1760"/>
          </w:tcPr>
          <w:p>
            <w:pPr>
              <w:spacing w:after="0"/>
              <w:jc w:val="left"/>
            </w:pPr>
            <w:r>
              <w:rPr>
                <w:rFonts w:ascii="Calibri" w:hAnsi="Calibri"/>
                <w:color w:val="111827"/>
                <w:sz w:val="18"/>
              </w:rPr>
              <w:t>25x remote</w:t>
            </w:r>
          </w:p>
        </w:tc>
      </w:tr>
    </w:tbl>
    <w:p>
      <w:pPr>
        <w:spacing w:after="40"/>
      </w:pPr>
    </w:p>
    <w:p>
      <w:pPr>
        <w:spacing w:before="0" w:after="160" w:line="320" w:lineRule="auto"/>
      </w:pPr>
      <w:r>
        <w:rPr>
          <w:rFonts w:ascii="Calibri" w:hAnsi="Calibri"/>
          <w:b w:val="0"/>
          <w:i w:val="0"/>
          <w:color w:val="111827"/>
          <w:sz w:val="22"/>
        </w:rPr>
        <w:t>A standard local cell therefore contains 4 x 4 = 16 surface subcells where the corresponding remote cell contains one. Transition cells contain 2 x 2 = 4 subcells, reducing the size jump between the remote and anomaly regions. Metal-loss and dent displacements are evaluated at every refined vertex, so additional vertices resolve steeper local gradients. Crack paths remove triangles from this same refined topology.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5F3"/>
          </w:tcPr>
          <w:p>
            <w:pPr>
              <w:spacing w:after="0"/>
            </w:pPr>
            <w:r>
              <w:rPr>
                <w:rFonts w:ascii="Calibri" w:hAnsi="Calibri"/>
                <w:b/>
                <w:color w:val="0B7A75"/>
                <w:sz w:val="21"/>
              </w:rPr>
              <w:t xml:space="preserve">Convergence requirement: </w:t>
            </w:r>
            <w:r>
              <w:rPr>
                <w:rFonts w:ascii="Calibri" w:hAnsi="Calibri"/>
                <w:color w:val="111827"/>
                <w:sz w:val="21"/>
              </w:rPr>
              <w:t>A finer visual topology is not evidence of numerical convergence. A production nonlinear FEA must repeat the solution with decreasing local element size and demonstrate stable failure pressure, relevant strain away from singularities, and fracture parameters [3,5,6,12].</w:t>
            </w:r>
          </w:p>
        </w:tc>
      </w:tr>
    </w:tbl>
    <w:p>
      <w:pPr>
        <w:spacing w:after="20"/>
      </w:pPr>
    </w:p>
    <w:p>
      <w:pPr>
        <w:spacing w:after="80"/>
        <w:jc w:val="center"/>
      </w:pPr>
      <w:r>
        <w:drawing>
          <wp:inline xmlns:a="http://schemas.openxmlformats.org/drawingml/2006/main" xmlns:pic="http://schemas.openxmlformats.org/drawingml/2006/picture">
            <wp:extent cx="5806440" cy="2941930"/>
            <wp:docPr id="2" name="Picture 2" descr="Figure 2. Current-model interacting metal-loss reference. The denser lines are subdivisions of the existing shell topology, not a superimposed patch."/>
            <wp:cNvGraphicFramePr>
              <a:graphicFrameLocks noChangeAspect="1"/>
            </wp:cNvGraphicFramePr>
            <a:graphic>
              <a:graphicData uri="http://schemas.openxmlformats.org/drawingml/2006/picture">
                <pic:pic>
                  <pic:nvPicPr>
                    <pic:cNvPr id="0" name="model_interacting_corrosion.png"/>
                    <pic:cNvPicPr/>
                  </pic:nvPicPr>
                  <pic:blipFill>
                    <a:blip r:embed="rId12"/>
                    <a:stretch>
                      <a:fillRect/>
                    </a:stretch>
                  </pic:blipFill>
                  <pic:spPr>
                    <a:xfrm>
                      <a:off x="0" y="0"/>
                      <a:ext cx="5806440" cy="2941930"/>
                    </a:xfrm>
                    <a:prstGeom prst="rect"/>
                  </pic:spPr>
                </pic:pic>
              </a:graphicData>
            </a:graphic>
          </wp:inline>
        </w:drawing>
      </w:r>
    </w:p>
    <w:p>
      <w:pPr>
        <w:spacing w:after="200"/>
        <w:jc w:val="center"/>
      </w:pPr>
      <w:r>
        <w:rPr>
          <w:rFonts w:ascii="Calibri" w:hAnsi="Calibri"/>
          <w:i/>
          <w:color w:val="6B7280"/>
          <w:sz w:val="18"/>
        </w:rPr>
        <w:t>Figure 2. Current-model interacting metal-loss reference. The denser lines are subdivisions of the existing shell topology, not a superimposed patch.</w:t>
      </w:r>
    </w:p>
    <w:p>
      <w:r>
        <w:br w:type="page"/>
      </w:r>
    </w:p>
    <w:p>
      <w:pPr>
        <w:pStyle w:val="Heading1"/>
        <w:keepNext/>
      </w:pPr>
      <w:r>
        <w:t>6. Direct Surrogate Verification</w:t>
      </w:r>
    </w:p>
    <w:p>
      <w:pPr>
        <w:spacing w:before="0" w:after="160" w:line="320" w:lineRule="auto"/>
      </w:pPr>
      <w:r>
        <w:rPr>
          <w:rFonts w:ascii="Calibri" w:hAnsi="Calibri"/>
          <w:b w:val="0"/>
          <w:i w:val="0"/>
          <w:color w:val="111827"/>
          <w:sz w:val="22"/>
        </w:rPr>
        <w:t>The embedded ANN and DNN were checked against 29 normalized FEA cases drawn from the parameter trends reported by Lo, Karuppanan, and Ovinis [1]. The four inputs are d/t, L/D, s/sqrt(Dt), and axial stress/SMYS; the target is normalized failure pressure.</w:t>
      </w:r>
    </w:p>
    <w:p>
      <w:pPr>
        <w:spacing w:after="80"/>
        <w:jc w:val="center"/>
      </w:pPr>
      <w:r>
        <w:drawing>
          <wp:inline xmlns:a="http://schemas.openxmlformats.org/drawingml/2006/main" xmlns:pic="http://schemas.openxmlformats.org/drawingml/2006/picture">
            <wp:extent cx="5806440" cy="3456214"/>
            <wp:docPr id="3" name="Picture 3" descr="Figure 3. Embedded ANN and DNN predictions against the 29 published corrosion-FEA cases [1]."/>
            <wp:cNvGraphicFramePr>
              <a:graphicFrameLocks noChangeAspect="1"/>
            </wp:cNvGraphicFramePr>
            <a:graphic>
              <a:graphicData uri="http://schemas.openxmlformats.org/drawingml/2006/picture">
                <pic:pic>
                  <pic:nvPicPr>
                    <pic:cNvPr id="0" name="published_fea_parity.png"/>
                    <pic:cNvPicPr/>
                  </pic:nvPicPr>
                  <pic:blipFill>
                    <a:blip r:embed="rId13"/>
                    <a:stretch>
                      <a:fillRect/>
                    </a:stretch>
                  </pic:blipFill>
                  <pic:spPr>
                    <a:xfrm>
                      <a:off x="0" y="0"/>
                      <a:ext cx="5806440" cy="3456214"/>
                    </a:xfrm>
                    <a:prstGeom prst="rect"/>
                  </pic:spPr>
                </pic:pic>
              </a:graphicData>
            </a:graphic>
          </wp:inline>
        </w:drawing>
      </w:r>
    </w:p>
    <w:p>
      <w:pPr>
        <w:spacing w:after="200"/>
        <w:jc w:val="center"/>
      </w:pPr>
      <w:r>
        <w:rPr>
          <w:rFonts w:ascii="Calibri" w:hAnsi="Calibri"/>
          <w:i/>
          <w:color w:val="6B7280"/>
          <w:sz w:val="18"/>
        </w:rPr>
        <w:t>Figure 3. Embedded ANN and DNN predictions against the 29 published corrosion-FEA cases [1].</w:t>
      </w:r>
    </w:p>
    <w:tbl>
      <w:tblPr>
        <w:tblStyle w:val="TableGrid"/>
        <w:tblW w:type="dxa" w:w="9360"/>
        <w:jc w:val="left"/>
        <w:tblLayout w:type="fixed"/>
        <w:tblLook w:firstColumn="1" w:firstRow="1" w:lastColumn="0" w:lastRow="0" w:noHBand="0" w:noVBand="1" w:val="04A0"/>
        <w:tblInd w:w="120" w:type="dxa"/>
      </w:tblPr>
      <w:tblGrid>
        <w:gridCol w:w="3600"/>
        <w:gridCol w:w="2880"/>
        <w:gridCol w:w="2880"/>
      </w:tblGrid>
      <w:tr>
        <w:trPr>
          <w:tblHeader w:val="true"/>
        </w:trPr>
        <w:tc>
          <w:tcPr>
            <w:tcW w:type="dxa" w:w="3600"/>
            <w:tcMar>
              <w:top w:w="80" w:type="dxa"/>
              <w:start w:w="120" w:type="dxa"/>
              <w:bottom w:w="80" w:type="dxa"/>
              <w:end w:w="120" w:type="dxa"/>
            </w:tcMar>
            <w:vAlign w:val="center"/>
            <w:shd w:fill="F4F6F9"/>
          </w:tcPr>
          <w:p>
            <w:pPr>
              <w:spacing w:after="0"/>
              <w:jc w:val="center"/>
            </w:pPr>
            <w:r>
              <w:rPr>
                <w:rFonts w:ascii="Calibri" w:hAnsi="Calibri"/>
                <w:b/>
                <w:color w:val="1F4D78"/>
                <w:sz w:val="18"/>
              </w:rPr>
              <w:t>Metric</w:t>
            </w:r>
          </w:p>
        </w:tc>
        <w:tc>
          <w:tcPr>
            <w:tcW w:type="dxa" w:w="2880"/>
            <w:tcMar>
              <w:top w:w="80" w:type="dxa"/>
              <w:start w:w="120" w:type="dxa"/>
              <w:bottom w:w="80" w:type="dxa"/>
              <w:end w:w="120" w:type="dxa"/>
            </w:tcMar>
            <w:vAlign w:val="center"/>
            <w:shd w:fill="F4F6F9"/>
          </w:tcPr>
          <w:p>
            <w:pPr>
              <w:spacing w:after="0"/>
              <w:jc w:val="center"/>
            </w:pPr>
            <w:r>
              <w:rPr>
                <w:rFonts w:ascii="Calibri" w:hAnsi="Calibri"/>
                <w:b/>
                <w:color w:val="1F4D78"/>
                <w:sz w:val="18"/>
              </w:rPr>
              <w:t>ANN 4-8-1</w:t>
            </w:r>
          </w:p>
        </w:tc>
        <w:tc>
          <w:tcPr>
            <w:tcW w:type="dxa" w:w="2880"/>
            <w:tcMar>
              <w:top w:w="80" w:type="dxa"/>
              <w:start w:w="120" w:type="dxa"/>
              <w:bottom w:w="80" w:type="dxa"/>
              <w:end w:w="120" w:type="dxa"/>
            </w:tcMar>
            <w:vAlign w:val="center"/>
            <w:shd w:fill="F4F6F9"/>
          </w:tcPr>
          <w:p>
            <w:pPr>
              <w:spacing w:after="0"/>
              <w:jc w:val="center"/>
            </w:pPr>
            <w:r>
              <w:rPr>
                <w:rFonts w:ascii="Calibri" w:hAnsi="Calibri"/>
                <w:b/>
                <w:color w:val="1F4D78"/>
                <w:sz w:val="18"/>
              </w:rPr>
              <w:t>DNN 4-10-6-1</w:t>
            </w:r>
          </w:p>
        </w:tc>
      </w:tr>
      <w:tr>
        <w:tc>
          <w:tcPr>
            <w:tcW w:type="dxa" w:w="3600"/>
          </w:tcPr>
          <w:p>
            <w:pPr>
              <w:spacing w:after="0"/>
              <w:jc w:val="center"/>
            </w:pPr>
            <w:r>
              <w:rPr>
                <w:rFonts w:ascii="Calibri" w:hAnsi="Calibri"/>
                <w:color w:val="111827"/>
                <w:sz w:val="18"/>
              </w:rPr>
              <w:t>R-squared</w:t>
            </w:r>
          </w:p>
        </w:tc>
        <w:tc>
          <w:tcPr>
            <w:tcW w:type="dxa" w:w="2880"/>
          </w:tcPr>
          <w:p>
            <w:pPr>
              <w:spacing w:after="0"/>
              <w:jc w:val="center"/>
            </w:pPr>
            <w:r>
              <w:rPr>
                <w:rFonts w:ascii="Calibri" w:hAnsi="Calibri"/>
                <w:color w:val="111827"/>
                <w:sz w:val="18"/>
              </w:rPr>
              <w:t>0.996956</w:t>
            </w:r>
          </w:p>
        </w:tc>
        <w:tc>
          <w:tcPr>
            <w:tcW w:type="dxa" w:w="2880"/>
          </w:tcPr>
          <w:p>
            <w:pPr>
              <w:spacing w:after="0"/>
              <w:jc w:val="left"/>
            </w:pPr>
            <w:r>
              <w:rPr>
                <w:rFonts w:ascii="Calibri" w:hAnsi="Calibri"/>
                <w:color w:val="111827"/>
                <w:sz w:val="18"/>
              </w:rPr>
              <w:t>0.999971</w:t>
            </w:r>
          </w:p>
        </w:tc>
      </w:tr>
      <w:tr>
        <w:tc>
          <w:tcPr>
            <w:tcW w:type="dxa" w:w="3600"/>
          </w:tcPr>
          <w:p>
            <w:pPr>
              <w:spacing w:after="0"/>
              <w:jc w:val="center"/>
            </w:pPr>
            <w:r>
              <w:rPr>
                <w:rFonts w:ascii="Calibri" w:hAnsi="Calibri"/>
                <w:color w:val="111827"/>
                <w:sz w:val="18"/>
              </w:rPr>
              <w:t>MAE, normalized pressure</w:t>
            </w:r>
          </w:p>
        </w:tc>
        <w:tc>
          <w:tcPr>
            <w:tcW w:type="dxa" w:w="2880"/>
          </w:tcPr>
          <w:p>
            <w:pPr>
              <w:spacing w:after="0"/>
              <w:jc w:val="center"/>
            </w:pPr>
            <w:r>
              <w:rPr>
                <w:rFonts w:ascii="Calibri" w:hAnsi="Calibri"/>
                <w:color w:val="111827"/>
                <w:sz w:val="18"/>
              </w:rPr>
              <w:t>0.006883</w:t>
            </w:r>
          </w:p>
        </w:tc>
        <w:tc>
          <w:tcPr>
            <w:tcW w:type="dxa" w:w="2880"/>
          </w:tcPr>
          <w:p>
            <w:pPr>
              <w:spacing w:after="0"/>
              <w:jc w:val="left"/>
            </w:pPr>
            <w:r>
              <w:rPr>
                <w:rFonts w:ascii="Calibri" w:hAnsi="Calibri"/>
                <w:color w:val="111827"/>
                <w:sz w:val="18"/>
              </w:rPr>
              <w:t>0.000387</w:t>
            </w:r>
          </w:p>
        </w:tc>
      </w:tr>
      <w:tr>
        <w:tc>
          <w:tcPr>
            <w:tcW w:type="dxa" w:w="3600"/>
          </w:tcPr>
          <w:p>
            <w:pPr>
              <w:spacing w:after="0"/>
              <w:jc w:val="center"/>
            </w:pPr>
            <w:r>
              <w:rPr>
                <w:rFonts w:ascii="Calibri" w:hAnsi="Calibri"/>
                <w:color w:val="111827"/>
                <w:sz w:val="18"/>
              </w:rPr>
              <w:t>MAPE</w:t>
            </w:r>
          </w:p>
        </w:tc>
        <w:tc>
          <w:tcPr>
            <w:tcW w:type="dxa" w:w="2880"/>
          </w:tcPr>
          <w:p>
            <w:pPr>
              <w:spacing w:after="0"/>
              <w:jc w:val="center"/>
            </w:pPr>
            <w:r>
              <w:rPr>
                <w:rFonts w:ascii="Calibri" w:hAnsi="Calibri"/>
                <w:color w:val="111827"/>
                <w:sz w:val="18"/>
              </w:rPr>
              <w:t>1.451%</w:t>
            </w:r>
          </w:p>
        </w:tc>
        <w:tc>
          <w:tcPr>
            <w:tcW w:type="dxa" w:w="2880"/>
          </w:tcPr>
          <w:p>
            <w:pPr>
              <w:spacing w:after="0"/>
              <w:jc w:val="left"/>
            </w:pPr>
            <w:r>
              <w:rPr>
                <w:rFonts w:ascii="Calibri" w:hAnsi="Calibri"/>
                <w:color w:val="111827"/>
                <w:sz w:val="18"/>
              </w:rPr>
              <w:t>0.078%</w:t>
            </w:r>
          </w:p>
        </w:tc>
      </w:tr>
      <w:tr>
        <w:tc>
          <w:tcPr>
            <w:tcW w:type="dxa" w:w="3600"/>
          </w:tcPr>
          <w:p>
            <w:pPr>
              <w:spacing w:after="0"/>
              <w:jc w:val="center"/>
            </w:pPr>
            <w:r>
              <w:rPr>
                <w:rFonts w:ascii="Calibri" w:hAnsi="Calibri"/>
                <w:color w:val="111827"/>
                <w:sz w:val="18"/>
              </w:rPr>
              <w:t>Maximum absolute error</w:t>
            </w:r>
          </w:p>
        </w:tc>
        <w:tc>
          <w:tcPr>
            <w:tcW w:type="dxa" w:w="2880"/>
          </w:tcPr>
          <w:p>
            <w:pPr>
              <w:spacing w:after="0"/>
              <w:jc w:val="center"/>
            </w:pPr>
            <w:r>
              <w:rPr>
                <w:rFonts w:ascii="Calibri" w:hAnsi="Calibri"/>
                <w:color w:val="111827"/>
                <w:sz w:val="18"/>
              </w:rPr>
              <w:t>3.166%</w:t>
            </w:r>
          </w:p>
        </w:tc>
        <w:tc>
          <w:tcPr>
            <w:tcW w:type="dxa" w:w="2880"/>
          </w:tcPr>
          <w:p>
            <w:pPr>
              <w:spacing w:after="0"/>
              <w:jc w:val="left"/>
            </w:pPr>
            <w:r>
              <w:rPr>
                <w:rFonts w:ascii="Calibri" w:hAnsi="Calibri"/>
                <w:color w:val="111827"/>
                <w:sz w:val="18"/>
              </w:rPr>
              <w:t>0.567%</w:t>
            </w:r>
          </w:p>
        </w:tc>
      </w:tr>
    </w:tbl>
    <w:p>
      <w:pPr>
        <w:spacing w:after="40"/>
      </w:pPr>
    </w:p>
    <w:p>
      <w:pPr>
        <w:spacing w:after="80"/>
        <w:jc w:val="center"/>
      </w:pPr>
      <w:r>
        <w:drawing>
          <wp:inline xmlns:a="http://schemas.openxmlformats.org/drawingml/2006/main" xmlns:pic="http://schemas.openxmlformats.org/drawingml/2006/picture">
            <wp:extent cx="5806440" cy="4147457"/>
            <wp:docPr id="4" name="Picture 4" descr="Figure 4. Signed residuals across the 29 direct-reproduction cases."/>
            <wp:cNvGraphicFramePr>
              <a:graphicFrameLocks noChangeAspect="1"/>
            </wp:cNvGraphicFramePr>
            <a:graphic>
              <a:graphicData uri="http://schemas.openxmlformats.org/drawingml/2006/picture">
                <pic:pic>
                  <pic:nvPicPr>
                    <pic:cNvPr id="0" name="surrogate_residuals.png"/>
                    <pic:cNvPicPr/>
                  </pic:nvPicPr>
                  <pic:blipFill>
                    <a:blip r:embed="rId14"/>
                    <a:stretch>
                      <a:fillRect/>
                    </a:stretch>
                  </pic:blipFill>
                  <pic:spPr>
                    <a:xfrm>
                      <a:off x="0" y="0"/>
                      <a:ext cx="5806440" cy="4147457"/>
                    </a:xfrm>
                    <a:prstGeom prst="rect"/>
                  </pic:spPr>
                </pic:pic>
              </a:graphicData>
            </a:graphic>
          </wp:inline>
        </w:drawing>
      </w:r>
    </w:p>
    <w:p>
      <w:pPr>
        <w:spacing w:after="200"/>
        <w:jc w:val="center"/>
      </w:pPr>
      <w:r>
        <w:rPr>
          <w:rFonts w:ascii="Calibri" w:hAnsi="Calibri"/>
          <w:i/>
          <w:color w:val="6B7280"/>
          <w:sz w:val="18"/>
        </w:rPr>
        <w:t>Figure 4. Signed residuals across the 29 direct-reproduction cases.</w:t>
      </w:r>
    </w:p>
    <w:p>
      <w:pPr>
        <w:spacing w:after="80"/>
        <w:jc w:val="center"/>
      </w:pPr>
      <w:r>
        <w:drawing>
          <wp:inline xmlns:a="http://schemas.openxmlformats.org/drawingml/2006/main" xmlns:pic="http://schemas.openxmlformats.org/drawingml/2006/picture">
            <wp:extent cx="5806440" cy="2322576"/>
            <wp:docPr id="5" name="Picture 5" descr="Figure 5. Published and predicted depth, length, and axial-stress response trends [1]."/>
            <wp:cNvGraphicFramePr>
              <a:graphicFrameLocks noChangeAspect="1"/>
            </wp:cNvGraphicFramePr>
            <a:graphic>
              <a:graphicData uri="http://schemas.openxmlformats.org/drawingml/2006/picture">
                <pic:pic>
                  <pic:nvPicPr>
                    <pic:cNvPr id="0" name="parameter_response.png"/>
                    <pic:cNvPicPr/>
                  </pic:nvPicPr>
                  <pic:blipFill>
                    <a:blip r:embed="rId15"/>
                    <a:stretch>
                      <a:fillRect/>
                    </a:stretch>
                  </pic:blipFill>
                  <pic:spPr>
                    <a:xfrm>
                      <a:off x="0" y="0"/>
                      <a:ext cx="5806440" cy="2322576"/>
                    </a:xfrm>
                    <a:prstGeom prst="rect"/>
                  </pic:spPr>
                </pic:pic>
              </a:graphicData>
            </a:graphic>
          </wp:inline>
        </w:drawing>
      </w:r>
    </w:p>
    <w:p>
      <w:pPr>
        <w:spacing w:after="200"/>
        <w:jc w:val="center"/>
      </w:pPr>
      <w:r>
        <w:rPr>
          <w:rFonts w:ascii="Calibri" w:hAnsi="Calibri"/>
          <w:i/>
          <w:color w:val="6B7280"/>
          <w:sz w:val="18"/>
        </w:rPr>
        <w:t>Figure 5. Published and predicted depth, length, and axial-stress response trends [1].</w:t>
      </w:r>
    </w:p>
    <w:p>
      <w:pPr>
        <w:spacing w:after="80"/>
        <w:jc w:val="center"/>
      </w:pPr>
      <w:r>
        <w:drawing>
          <wp:inline xmlns:a="http://schemas.openxmlformats.org/drawingml/2006/main" xmlns:pic="http://schemas.openxmlformats.org/drawingml/2006/picture">
            <wp:extent cx="5806440" cy="2941930"/>
            <wp:docPr id="6" name="Picture 6" descr="Figure 6. Current-model raw MFL metal-loss representation used as the geometry reference for corrosion-surrogate verification."/>
            <wp:cNvGraphicFramePr>
              <a:graphicFrameLocks noChangeAspect="1"/>
            </wp:cNvGraphicFramePr>
            <a:graphic>
              <a:graphicData uri="http://schemas.openxmlformats.org/drawingml/2006/picture">
                <pic:pic>
                  <pic:nvPicPr>
                    <pic:cNvPr id="0" name="model_single_corrosion.png"/>
                    <pic:cNvPicPr/>
                  </pic:nvPicPr>
                  <pic:blipFill>
                    <a:blip r:embed="rId16"/>
                    <a:stretch>
                      <a:fillRect/>
                    </a:stretch>
                  </pic:blipFill>
                  <pic:spPr>
                    <a:xfrm>
                      <a:off x="0" y="0"/>
                      <a:ext cx="5806440" cy="2941930"/>
                    </a:xfrm>
                    <a:prstGeom prst="rect"/>
                  </pic:spPr>
                </pic:pic>
              </a:graphicData>
            </a:graphic>
          </wp:inline>
        </w:drawing>
      </w:r>
    </w:p>
    <w:p>
      <w:pPr>
        <w:spacing w:after="200"/>
        <w:jc w:val="center"/>
      </w:pPr>
      <w:r>
        <w:rPr>
          <w:rFonts w:ascii="Calibri" w:hAnsi="Calibri"/>
          <w:i/>
          <w:color w:val="6B7280"/>
          <w:sz w:val="18"/>
        </w:rPr>
        <w:t>Figure 6. Current-model raw MFL metal-loss representation used as the geometry reference for corrosion-surrogate verification.</w:t>
      </w:r>
    </w:p>
    <w:p>
      <w:pPr>
        <w:spacing w:before="0" w:after="160" w:line="320" w:lineRule="auto"/>
      </w:pPr>
      <w:r>
        <w:rPr>
          <w:rFonts w:ascii="Calibri" w:hAnsi="Calibri"/>
          <w:b w:val="0"/>
          <w:i w:val="0"/>
          <w:color w:val="111827"/>
          <w:sz w:val="22"/>
        </w:rPr>
        <w:t>These are reproduction results, not blind validation. The DNN's extremely small error must be interpreted in that context. Lo et al. reported R-squared 0.9921 and errors from -9.39% to +4.63% for unseen longitudinal-interaction cases, providing a stronger independent check of the source ANN method [1].</w:t>
      </w:r>
    </w:p>
    <w:p>
      <w:r>
        <w:br w:type="page"/>
      </w:r>
    </w:p>
    <w:p>
      <w:pPr>
        <w:pStyle w:val="Heading1"/>
        <w:keepNext/>
      </w:pPr>
      <w:r>
        <w:t>7. Additional Published Corrosion Validation</w:t>
      </w:r>
    </w:p>
    <w:p>
      <w:pPr>
        <w:spacing w:after="80"/>
        <w:jc w:val="center"/>
      </w:pPr>
      <w:r>
        <w:drawing>
          <wp:inline xmlns:a="http://schemas.openxmlformats.org/drawingml/2006/main" xmlns:pic="http://schemas.openxmlformats.org/drawingml/2006/picture">
            <wp:extent cx="5806440" cy="3446403"/>
            <wp:docPr id="7" name="Picture 7" descr="Figure 7. Reported validation error evidence. Values are not pooled because datasets, metrics, pipe grades, and defect configurations differ."/>
            <wp:cNvGraphicFramePr>
              <a:graphicFrameLocks noChangeAspect="1"/>
            </wp:cNvGraphicFramePr>
            <a:graphic>
              <a:graphicData uri="http://schemas.openxmlformats.org/drawingml/2006/picture">
                <pic:pic>
                  <pic:nvPicPr>
                    <pic:cNvPr id="0" name="published_validation_evidence.png"/>
                    <pic:cNvPicPr/>
                  </pic:nvPicPr>
                  <pic:blipFill>
                    <a:blip r:embed="rId17"/>
                    <a:stretch>
                      <a:fillRect/>
                    </a:stretch>
                  </pic:blipFill>
                  <pic:spPr>
                    <a:xfrm>
                      <a:off x="0" y="0"/>
                      <a:ext cx="5806440" cy="3446403"/>
                    </a:xfrm>
                    <a:prstGeom prst="rect"/>
                  </pic:spPr>
                </pic:pic>
              </a:graphicData>
            </a:graphic>
          </wp:inline>
        </w:drawing>
      </w:r>
    </w:p>
    <w:p>
      <w:pPr>
        <w:spacing w:after="200"/>
        <w:jc w:val="center"/>
      </w:pPr>
      <w:r>
        <w:rPr>
          <w:rFonts w:ascii="Calibri" w:hAnsi="Calibri"/>
          <w:i/>
          <w:color w:val="6B7280"/>
          <w:sz w:val="18"/>
        </w:rPr>
        <w:t>Figure 7. Reported validation error evidence. Values are not pooled because datasets, metrics, pipe grades, and defect configurations differ.</w:t>
      </w:r>
    </w:p>
    <w:tbl>
      <w:tblPr>
        <w:tblStyle w:val="TableGrid"/>
        <w:tblW w:type="dxa" w:w="9360"/>
        <w:jc w:val="left"/>
        <w:tblLayout w:type="fixed"/>
        <w:tblLook w:firstColumn="1" w:firstRow="1" w:lastColumn="0" w:lastRow="0" w:noHBand="0" w:noVBand="1" w:val="04A0"/>
        <w:tblInd w:w="120" w:type="dxa"/>
      </w:tblPr>
      <w:tblGrid>
        <w:gridCol w:w="1800"/>
        <w:gridCol w:w="2300"/>
        <w:gridCol w:w="2700"/>
        <w:gridCol w:w="2560"/>
      </w:tblGrid>
      <w:tr>
        <w:trPr>
          <w:tblHeader w:val="true"/>
        </w:trPr>
        <w:tc>
          <w:tcPr>
            <w:tcW w:type="dxa" w:w="1800"/>
            <w:tcMar>
              <w:top w:w="80" w:type="dxa"/>
              <w:start w:w="120" w:type="dxa"/>
              <w:bottom w:w="80" w:type="dxa"/>
              <w:end w:w="120" w:type="dxa"/>
            </w:tcMar>
            <w:vAlign w:val="center"/>
            <w:shd w:fill="F4F6F9"/>
          </w:tcPr>
          <w:p>
            <w:pPr>
              <w:spacing w:after="0"/>
              <w:jc w:val="center"/>
            </w:pPr>
            <w:r>
              <w:rPr>
                <w:rFonts w:ascii="Calibri" w:hAnsi="Calibri"/>
                <w:b/>
                <w:color w:val="1F4D78"/>
                <w:sz w:val="18"/>
              </w:rPr>
              <w:t>Publication</w:t>
            </w:r>
          </w:p>
        </w:tc>
        <w:tc>
          <w:tcPr>
            <w:tcW w:type="dxa" w:w="2300"/>
            <w:tcMar>
              <w:top w:w="80" w:type="dxa"/>
              <w:start w:w="120" w:type="dxa"/>
              <w:bottom w:w="80" w:type="dxa"/>
              <w:end w:w="120" w:type="dxa"/>
            </w:tcMar>
            <w:vAlign w:val="center"/>
            <w:shd w:fill="F4F6F9"/>
          </w:tcPr>
          <w:p>
            <w:pPr>
              <w:spacing w:after="0"/>
              <w:jc w:val="center"/>
            </w:pPr>
            <w:r>
              <w:rPr>
                <w:rFonts w:ascii="Calibri" w:hAnsi="Calibri"/>
                <w:b/>
                <w:color w:val="1F4D78"/>
                <w:sz w:val="18"/>
              </w:rPr>
              <w:t>Configuration</w:t>
            </w:r>
          </w:p>
        </w:tc>
        <w:tc>
          <w:tcPr>
            <w:tcW w:type="dxa" w:w="2700"/>
            <w:tcMar>
              <w:top w:w="80" w:type="dxa"/>
              <w:start w:w="120" w:type="dxa"/>
              <w:bottom w:w="80" w:type="dxa"/>
              <w:end w:w="120" w:type="dxa"/>
            </w:tcMar>
            <w:vAlign w:val="center"/>
            <w:shd w:fill="F4F6F9"/>
          </w:tcPr>
          <w:p>
            <w:pPr>
              <w:spacing w:after="0"/>
              <w:jc w:val="center"/>
            </w:pPr>
            <w:r>
              <w:rPr>
                <w:rFonts w:ascii="Calibri" w:hAnsi="Calibri"/>
                <w:b/>
                <w:color w:val="1F4D78"/>
                <w:sz w:val="18"/>
              </w:rPr>
              <w:t>Reported validation evidence</w:t>
            </w:r>
          </w:p>
        </w:tc>
        <w:tc>
          <w:tcPr>
            <w:tcW w:type="dxa" w:w="2560"/>
            <w:tcMar>
              <w:top w:w="80" w:type="dxa"/>
              <w:start w:w="120" w:type="dxa"/>
              <w:bottom w:w="80" w:type="dxa"/>
              <w:end w:w="120" w:type="dxa"/>
            </w:tcMar>
            <w:vAlign w:val="center"/>
            <w:shd w:fill="F4F6F9"/>
          </w:tcPr>
          <w:p>
            <w:pPr>
              <w:spacing w:after="0"/>
              <w:jc w:val="center"/>
            </w:pPr>
            <w:r>
              <w:rPr>
                <w:rFonts w:ascii="Calibri" w:hAnsi="Calibri"/>
                <w:b/>
                <w:color w:val="1F4D78"/>
                <w:sz w:val="18"/>
              </w:rPr>
              <w:t>Relevance</w:t>
            </w:r>
          </w:p>
        </w:tc>
      </w:tr>
      <w:tr>
        <w:tc>
          <w:tcPr>
            <w:tcW w:type="dxa" w:w="1800"/>
          </w:tcPr>
          <w:p>
            <w:pPr>
              <w:spacing w:after="0"/>
              <w:jc w:val="center"/>
            </w:pPr>
            <w:r>
              <w:rPr>
                <w:rFonts w:ascii="Calibri" w:hAnsi="Calibri"/>
                <w:color w:val="111827"/>
                <w:sz w:val="18"/>
              </w:rPr>
              <w:t>Lo et al. 2021 [1]</w:t>
            </w:r>
          </w:p>
        </w:tc>
        <w:tc>
          <w:tcPr>
            <w:tcW w:type="dxa" w:w="2300"/>
          </w:tcPr>
          <w:p>
            <w:pPr>
              <w:spacing w:after="0"/>
              <w:jc w:val="center"/>
            </w:pPr>
            <w:r>
              <w:rPr>
                <w:rFonts w:ascii="Calibri" w:hAnsi="Calibri"/>
                <w:color w:val="111827"/>
                <w:sz w:val="18"/>
              </w:rPr>
              <w:t>X65 longitudinally interacting corrosion plus axial compression</w:t>
            </w:r>
          </w:p>
        </w:tc>
        <w:tc>
          <w:tcPr>
            <w:tcW w:type="dxa" w:w="2700"/>
          </w:tcPr>
          <w:p>
            <w:pPr>
              <w:spacing w:after="0"/>
              <w:jc w:val="center"/>
            </w:pPr>
            <w:r>
              <w:rPr>
                <w:rFonts w:ascii="Calibri" w:hAnsi="Calibri"/>
                <w:color w:val="111827"/>
                <w:sz w:val="18"/>
              </w:rPr>
              <w:t>Unseen-case R2 0.9921; error -9.39% to +4.63%.</w:t>
            </w:r>
          </w:p>
        </w:tc>
        <w:tc>
          <w:tcPr>
            <w:tcW w:type="dxa" w:w="2560"/>
          </w:tcPr>
          <w:p>
            <w:pPr>
              <w:spacing w:after="0"/>
              <w:jc w:val="left"/>
            </w:pPr>
            <w:r>
              <w:rPr>
                <w:rFonts w:ascii="Calibri" w:hAnsi="Calibri"/>
                <w:color w:val="111827"/>
                <w:sz w:val="18"/>
              </w:rPr>
              <w:t>Direct source domain for the four-input interaction surrogate.</w:t>
            </w:r>
          </w:p>
        </w:tc>
      </w:tr>
      <w:tr>
        <w:tc>
          <w:tcPr>
            <w:tcW w:type="dxa" w:w="1800"/>
          </w:tcPr>
          <w:p>
            <w:pPr>
              <w:spacing w:after="0"/>
              <w:jc w:val="center"/>
            </w:pPr>
            <w:r>
              <w:rPr>
                <w:rFonts w:ascii="Calibri" w:hAnsi="Calibri"/>
                <w:color w:val="111827"/>
                <w:sz w:val="18"/>
              </w:rPr>
              <w:t>Vijaya Kumar et al. 2022 [2]</w:t>
            </w:r>
          </w:p>
        </w:tc>
        <w:tc>
          <w:tcPr>
            <w:tcW w:type="dxa" w:w="2300"/>
          </w:tcPr>
          <w:p>
            <w:pPr>
              <w:spacing w:after="0"/>
              <w:jc w:val="center"/>
            </w:pPr>
            <w:r>
              <w:rPr>
                <w:rFonts w:ascii="Calibri" w:hAnsi="Calibri"/>
                <w:color w:val="111827"/>
                <w:sz w:val="18"/>
              </w:rPr>
              <w:t>X80 circumferentially aligned interacting corrosion</w:t>
            </w:r>
          </w:p>
        </w:tc>
        <w:tc>
          <w:tcPr>
            <w:tcW w:type="dxa" w:w="2700"/>
          </w:tcPr>
          <w:p>
            <w:pPr>
              <w:spacing w:after="0"/>
              <w:jc w:val="center"/>
            </w:pPr>
            <w:r>
              <w:rPr>
                <w:rFonts w:ascii="Calibri" w:hAnsi="Calibri"/>
                <w:color w:val="111827"/>
                <w:sz w:val="18"/>
              </w:rPr>
              <w:t>Related ANN and full-scale burst comparisons.</w:t>
            </w:r>
          </w:p>
        </w:tc>
        <w:tc>
          <w:tcPr>
            <w:tcW w:type="dxa" w:w="2560"/>
          </w:tcPr>
          <w:p>
            <w:pPr>
              <w:spacing w:after="0"/>
              <w:jc w:val="left"/>
            </w:pPr>
            <w:r>
              <w:rPr>
                <w:rFonts w:ascii="Calibri" w:hAnsi="Calibri"/>
                <w:color w:val="111827"/>
                <w:sz w:val="18"/>
              </w:rPr>
              <w:t>Supports interacting-corrosion FEA/ANN strategy; different interaction orientation.</w:t>
            </w:r>
          </w:p>
        </w:tc>
      </w:tr>
      <w:tr>
        <w:tc>
          <w:tcPr>
            <w:tcW w:type="dxa" w:w="1800"/>
          </w:tcPr>
          <w:p>
            <w:pPr>
              <w:spacing w:after="0"/>
              <w:jc w:val="center"/>
            </w:pPr>
            <w:r>
              <w:rPr>
                <w:rFonts w:ascii="Calibri" w:hAnsi="Calibri"/>
                <w:color w:val="111827"/>
                <w:sz w:val="18"/>
              </w:rPr>
              <w:t>Kumar et al. 2021 [3]</w:t>
            </w:r>
          </w:p>
        </w:tc>
        <w:tc>
          <w:tcPr>
            <w:tcW w:type="dxa" w:w="2300"/>
          </w:tcPr>
          <w:p>
            <w:pPr>
              <w:spacing w:after="0"/>
              <w:jc w:val="center"/>
            </w:pPr>
            <w:r>
              <w:rPr>
                <w:rFonts w:ascii="Calibri" w:hAnsi="Calibri"/>
                <w:color w:val="111827"/>
                <w:sz w:val="18"/>
              </w:rPr>
              <w:t>X80-X100 single corrosion plus axial compression</w:t>
            </w:r>
          </w:p>
        </w:tc>
        <w:tc>
          <w:tcPr>
            <w:tcW w:type="dxa" w:w="2700"/>
          </w:tcPr>
          <w:p>
            <w:pPr>
              <w:spacing w:after="0"/>
              <w:jc w:val="center"/>
            </w:pPr>
            <w:r>
              <w:rPr>
                <w:rFonts w:ascii="Calibri" w:hAnsi="Calibri"/>
                <w:color w:val="111827"/>
                <w:sz w:val="18"/>
              </w:rPr>
              <w:t>Validation error -6.86% to +7.53%; R2 about 0.997.</w:t>
            </w:r>
          </w:p>
        </w:tc>
        <w:tc>
          <w:tcPr>
            <w:tcW w:type="dxa" w:w="2560"/>
          </w:tcPr>
          <w:p>
            <w:pPr>
              <w:spacing w:after="0"/>
              <w:jc w:val="left"/>
            </w:pPr>
            <w:r>
              <w:rPr>
                <w:rFonts w:ascii="Calibri" w:hAnsi="Calibri"/>
                <w:color w:val="111827"/>
                <w:sz w:val="18"/>
              </w:rPr>
              <w:t>Supports depth, length, and axial-stress variables.</w:t>
            </w:r>
          </w:p>
        </w:tc>
      </w:tr>
      <w:tr>
        <w:tc>
          <w:tcPr>
            <w:tcW w:type="dxa" w:w="1800"/>
          </w:tcPr>
          <w:p>
            <w:pPr>
              <w:spacing w:after="0"/>
              <w:jc w:val="center"/>
            </w:pPr>
            <w:r>
              <w:rPr>
                <w:rFonts w:ascii="Calibri" w:hAnsi="Calibri"/>
                <w:color w:val="111827"/>
                <w:sz w:val="18"/>
              </w:rPr>
              <w:t>Zhu 2025 [12]</w:t>
            </w:r>
          </w:p>
        </w:tc>
        <w:tc>
          <w:tcPr>
            <w:tcW w:type="dxa" w:w="2300"/>
          </w:tcPr>
          <w:p>
            <w:pPr>
              <w:spacing w:after="0"/>
              <w:jc w:val="center"/>
            </w:pPr>
            <w:r>
              <w:rPr>
                <w:rFonts w:ascii="Calibri" w:hAnsi="Calibri"/>
                <w:color w:val="111827"/>
                <w:sz w:val="18"/>
              </w:rPr>
              <w:t>Thin- and thick-wall corrosion with large FEA and burst datasets</w:t>
            </w:r>
          </w:p>
        </w:tc>
        <w:tc>
          <w:tcPr>
            <w:tcW w:type="dxa" w:w="2700"/>
          </w:tcPr>
          <w:p>
            <w:pPr>
              <w:spacing w:after="0"/>
              <w:jc w:val="center"/>
            </w:pPr>
            <w:r>
              <w:rPr>
                <w:rFonts w:ascii="Calibri" w:hAnsi="Calibri"/>
                <w:color w:val="111827"/>
                <w:sz w:val="18"/>
              </w:rPr>
              <w:t>Numerical and experimental validation across machined and real corrosion.</w:t>
            </w:r>
          </w:p>
        </w:tc>
        <w:tc>
          <w:tcPr>
            <w:tcW w:type="dxa" w:w="2560"/>
          </w:tcPr>
          <w:p>
            <w:pPr>
              <w:spacing w:after="0"/>
              <w:jc w:val="left"/>
            </w:pPr>
            <w:r>
              <w:rPr>
                <w:rFonts w:ascii="Calibri" w:hAnsi="Calibri"/>
                <w:color w:val="111827"/>
                <w:sz w:val="18"/>
              </w:rPr>
              <w:t>Highlights D/t applicability and need for thick-wall-specific models.</w:t>
            </w:r>
          </w:p>
        </w:tc>
      </w:tr>
      <w:tr>
        <w:tc>
          <w:tcPr>
            <w:tcW w:type="dxa" w:w="1800"/>
          </w:tcPr>
          <w:p>
            <w:pPr>
              <w:spacing w:after="0"/>
              <w:jc w:val="center"/>
            </w:pPr>
            <w:r>
              <w:rPr>
                <w:rFonts w:ascii="Calibri" w:hAnsi="Calibri"/>
                <w:color w:val="111827"/>
                <w:sz w:val="18"/>
              </w:rPr>
              <w:t>Kiefner et al. 1996 [7]</w:t>
            </w:r>
          </w:p>
        </w:tc>
        <w:tc>
          <w:tcPr>
            <w:tcW w:type="dxa" w:w="2300"/>
          </w:tcPr>
          <w:p>
            <w:pPr>
              <w:spacing w:after="0"/>
              <w:jc w:val="center"/>
            </w:pPr>
            <w:r>
              <w:rPr>
                <w:rFonts w:ascii="Calibri" w:hAnsi="Calibri"/>
                <w:color w:val="111827"/>
                <w:sz w:val="18"/>
              </w:rPr>
              <w:t>Real and machined metal-loss burst database</w:t>
            </w:r>
          </w:p>
        </w:tc>
        <w:tc>
          <w:tcPr>
            <w:tcW w:type="dxa" w:w="2700"/>
          </w:tcPr>
          <w:p>
            <w:pPr>
              <w:spacing w:after="0"/>
              <w:jc w:val="center"/>
            </w:pPr>
            <w:r>
              <w:rPr>
                <w:rFonts w:ascii="Calibri" w:hAnsi="Calibri"/>
                <w:color w:val="111827"/>
                <w:sz w:val="18"/>
              </w:rPr>
              <w:t>Continued validation of RSTRENG effective-area assessment.</w:t>
            </w:r>
          </w:p>
        </w:tc>
        <w:tc>
          <w:tcPr>
            <w:tcW w:type="dxa" w:w="2560"/>
          </w:tcPr>
          <w:p>
            <w:pPr>
              <w:spacing w:after="0"/>
              <w:jc w:val="left"/>
            </w:pPr>
            <w:r>
              <w:rPr>
                <w:rFonts w:ascii="Calibri" w:hAnsi="Calibri"/>
                <w:color w:val="111827"/>
                <w:sz w:val="18"/>
              </w:rPr>
              <w:t>Supports actual-profile methods and conservative cross-checking.</w:t>
            </w:r>
          </w:p>
        </w:tc>
      </w:tr>
    </w:tbl>
    <w:p>
      <w:pPr>
        <w:spacing w:after="40"/>
      </w:pPr>
    </w:p>
    <w:p>
      <w:pPr>
        <w:spacing w:after="80"/>
        <w:jc w:val="center"/>
      </w:pPr>
      <w:r>
        <w:drawing>
          <wp:inline xmlns:a="http://schemas.openxmlformats.org/drawingml/2006/main" xmlns:pic="http://schemas.openxmlformats.org/drawingml/2006/picture">
            <wp:extent cx="5806440" cy="3456214"/>
            <wp:docPr id="8" name="Picture 8" descr="Figure 8. Six published full-scale burst comparisons supporting the source nonlinear FEA methodology [2]."/>
            <wp:cNvGraphicFramePr>
              <a:graphicFrameLocks noChangeAspect="1"/>
            </wp:cNvGraphicFramePr>
            <a:graphic>
              <a:graphicData uri="http://schemas.openxmlformats.org/drawingml/2006/picture">
                <pic:pic>
                  <pic:nvPicPr>
                    <pic:cNvPr id="0" name="published_fea_vs_burst.png"/>
                    <pic:cNvPicPr/>
                  </pic:nvPicPr>
                  <pic:blipFill>
                    <a:blip r:embed="rId18"/>
                    <a:stretch>
                      <a:fillRect/>
                    </a:stretch>
                  </pic:blipFill>
                  <pic:spPr>
                    <a:xfrm>
                      <a:off x="0" y="0"/>
                      <a:ext cx="5806440" cy="3456214"/>
                    </a:xfrm>
                    <a:prstGeom prst="rect"/>
                  </pic:spPr>
                </pic:pic>
              </a:graphicData>
            </a:graphic>
          </wp:inline>
        </w:drawing>
      </w:r>
    </w:p>
    <w:p>
      <w:pPr>
        <w:spacing w:after="200"/>
        <w:jc w:val="center"/>
      </w:pPr>
      <w:r>
        <w:rPr>
          <w:rFonts w:ascii="Calibri" w:hAnsi="Calibri"/>
          <w:i/>
          <w:color w:val="6B7280"/>
          <w:sz w:val="18"/>
        </w:rPr>
        <w:t>Figure 8. Six published full-scale burst comparisons supporting the source nonlinear FEA methodology [2].</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5F3"/>
          </w:tcPr>
          <w:p>
            <w:pPr>
              <w:spacing w:after="0"/>
            </w:pPr>
            <w:r>
              <w:rPr>
                <w:rFonts w:ascii="Calibri" w:hAnsi="Calibri"/>
                <w:b/>
                <w:color w:val="0B7A75"/>
                <w:sz w:val="21"/>
              </w:rPr>
              <w:t xml:space="preserve">Applicability boundary: </w:t>
            </w:r>
            <w:r>
              <w:rPr>
                <w:rFonts w:ascii="Calibri" w:hAnsi="Calibri"/>
                <w:color w:val="111827"/>
                <w:sz w:val="21"/>
              </w:rPr>
              <w:t>The embedded surrogate is limited to the stated normalized ranges and corrosion-type response. It is not validated for D/t below the source range, arbitrary real-corrosion morphology, cracks, dents, SCC, weld flaws, or mixed anomalies.</w:t>
            </w:r>
          </w:p>
        </w:tc>
      </w:tr>
    </w:tbl>
    <w:p>
      <w:pPr>
        <w:spacing w:after="20"/>
      </w:pPr>
    </w:p>
    <w:p>
      <w:r>
        <w:br w:type="page"/>
      </w:r>
    </w:p>
    <w:p>
      <w:pPr>
        <w:pStyle w:val="Heading1"/>
        <w:keepNext/>
      </w:pPr>
      <w:r>
        <w:t>8. Dent Verification Evidence</w:t>
      </w:r>
    </w:p>
    <w:p>
      <w:pPr>
        <w:spacing w:before="0" w:after="160" w:line="320" w:lineRule="auto"/>
      </w:pPr>
      <w:r>
        <w:rPr>
          <w:rFonts w:ascii="Calibri" w:hAnsi="Calibri"/>
          <w:b w:val="0"/>
          <w:i w:val="0"/>
          <w:color w:val="111827"/>
          <w:sz w:val="22"/>
        </w:rPr>
        <w:t>Oh et al. developed and tested a DNN for unconstrained plain dents using nonlinear FEA and experimental results. Reported FEA-comparison MAPEs ranged from 0.33% to 5.55% across X52, X65, and X80 datasets, while comparison with three experiments produced MAPE 1.52% [5]. This validates the general use of nonlinear FEA plus machine learning for plain-dent burst prediction, but it does not directly validate the current software's simplified dent pressure or curvature-strain equations.</w:t>
      </w:r>
    </w:p>
    <w:p>
      <w:pPr>
        <w:spacing w:after="80"/>
        <w:jc w:val="center"/>
      </w:pPr>
      <w:r>
        <w:drawing>
          <wp:inline xmlns:a="http://schemas.openxmlformats.org/drawingml/2006/main" xmlns:pic="http://schemas.openxmlformats.org/drawingml/2006/picture">
            <wp:extent cx="5806440" cy="2941930"/>
            <wp:docPr id="9" name="Picture 9" descr="Figure 9. Current-model raw caliper dent representation. Caliper displacement changes vertices of the same locally refined shell."/>
            <wp:cNvGraphicFramePr>
              <a:graphicFrameLocks noChangeAspect="1"/>
            </wp:cNvGraphicFramePr>
            <a:graphic>
              <a:graphicData uri="http://schemas.openxmlformats.org/drawingml/2006/picture">
                <pic:pic>
                  <pic:nvPicPr>
                    <pic:cNvPr id="0" name="model_dent.png"/>
                    <pic:cNvPicPr/>
                  </pic:nvPicPr>
                  <pic:blipFill>
                    <a:blip r:embed="rId19"/>
                    <a:stretch>
                      <a:fillRect/>
                    </a:stretch>
                  </pic:blipFill>
                  <pic:spPr>
                    <a:xfrm>
                      <a:off x="0" y="0"/>
                      <a:ext cx="5806440" cy="2941930"/>
                    </a:xfrm>
                    <a:prstGeom prst="rect"/>
                  </pic:spPr>
                </pic:pic>
              </a:graphicData>
            </a:graphic>
          </wp:inline>
        </w:drawing>
      </w:r>
    </w:p>
    <w:p>
      <w:pPr>
        <w:spacing w:after="200"/>
        <w:jc w:val="center"/>
      </w:pPr>
      <w:r>
        <w:rPr>
          <w:rFonts w:ascii="Calibri" w:hAnsi="Calibri"/>
          <w:i/>
          <w:color w:val="6B7280"/>
          <w:sz w:val="18"/>
        </w:rPr>
        <w:t>Figure 9. Current-model raw caliper dent representation. Caliper displacement changes vertices of the same locally refined shell.</w:t>
      </w:r>
    </w:p>
    <w:p>
      <w:pPr>
        <w:spacing w:before="0" w:after="160" w:line="320" w:lineRule="auto"/>
      </w:pPr>
      <w:r>
        <w:rPr>
          <w:rFonts w:ascii="Calibri" w:hAnsi="Calibri"/>
          <w:b w:val="0"/>
          <w:i w:val="0"/>
          <w:color w:val="111827"/>
          <w:sz w:val="22"/>
        </w:rPr>
        <w:t>The current module therefore treats dent outputs as screening. API RP 1183 requires dent shape, constraint, fatigue, coincident features, material properties, pressure history, and uncertainty to be evaluated using a qualified procedure [9].</w:t>
      </w:r>
    </w:p>
    <w:p>
      <w:r>
        <w:br w:type="page"/>
      </w:r>
    </w:p>
    <w:p>
      <w:pPr>
        <w:pStyle w:val="Heading1"/>
        <w:keepNext/>
      </w:pPr>
      <w:r>
        <w:t>9. Crack, Dent-Crack, and SCC/Fatigue Evidence</w:t>
      </w:r>
    </w:p>
    <w:p>
      <w:pPr>
        <w:spacing w:before="0" w:after="160" w:line="320" w:lineRule="auto"/>
      </w:pPr>
      <w:r>
        <w:rPr>
          <w:rFonts w:ascii="Calibri" w:hAnsi="Calibri"/>
          <w:b w:val="0"/>
          <w:i w:val="0"/>
          <w:color w:val="111827"/>
          <w:sz w:val="22"/>
        </w:rPr>
        <w:t>Okodi et al. calibrated and validated XFEM models against full-scale tests for restrained and unrestrained X70 dent-crack specimens [6]. Their study demonstrates that crack depth, crack length, dent depth, restraint, and denting pressure materially affect propagation and burst. Those variables exceed the simplified current crack-pressure and dent-interaction screens.</w:t>
      </w:r>
    </w:p>
    <w:p>
      <w:pPr>
        <w:spacing w:after="80"/>
        <w:jc w:val="center"/>
      </w:pPr>
      <w:r>
        <w:drawing>
          <wp:inline xmlns:a="http://schemas.openxmlformats.org/drawingml/2006/main" xmlns:pic="http://schemas.openxmlformats.org/drawingml/2006/picture">
            <wp:extent cx="5806440" cy="2941930"/>
            <wp:docPr id="10" name="Picture 10" descr="Figure 10. Current-model dent-crack representation: caliper-driven shell displacement with triangles omitted along the crack path."/>
            <wp:cNvGraphicFramePr>
              <a:graphicFrameLocks noChangeAspect="1"/>
            </wp:cNvGraphicFramePr>
            <a:graphic>
              <a:graphicData uri="http://schemas.openxmlformats.org/drawingml/2006/picture">
                <pic:pic>
                  <pic:nvPicPr>
                    <pic:cNvPr id="0" name="model_dent_crack.png"/>
                    <pic:cNvPicPr/>
                  </pic:nvPicPr>
                  <pic:blipFill>
                    <a:blip r:embed="rId20"/>
                    <a:stretch>
                      <a:fillRect/>
                    </a:stretch>
                  </pic:blipFill>
                  <pic:spPr>
                    <a:xfrm>
                      <a:off x="0" y="0"/>
                      <a:ext cx="5806440" cy="2941930"/>
                    </a:xfrm>
                    <a:prstGeom prst="rect"/>
                  </pic:spPr>
                </pic:pic>
              </a:graphicData>
            </a:graphic>
          </wp:inline>
        </w:drawing>
      </w:r>
    </w:p>
    <w:p>
      <w:pPr>
        <w:spacing w:after="200"/>
        <w:jc w:val="center"/>
      </w:pPr>
      <w:r>
        <w:rPr>
          <w:rFonts w:ascii="Calibri" w:hAnsi="Calibri"/>
          <w:i/>
          <w:color w:val="6B7280"/>
          <w:sz w:val="18"/>
        </w:rPr>
        <w:t>Figure 10. Current-model dent-crack representation: caliper-driven shell displacement with triangles omitted along the crack path.</w:t>
      </w:r>
    </w:p>
    <w:p>
      <w:pPr>
        <w:spacing w:before="0" w:after="160" w:line="320" w:lineRule="auto"/>
      </w:pPr>
      <w:r>
        <w:rPr>
          <w:rFonts w:ascii="Calibri" w:hAnsi="Calibri"/>
          <w:b w:val="0"/>
          <w:i w:val="0"/>
          <w:color w:val="111827"/>
          <w:sz w:val="22"/>
        </w:rPr>
        <w:t>The current fatigue calculation follows the Paris-law form da/dN = C(Delta K)^m [11]. It does not model crack closure, threshold variability, retardation, variable-amplitude sequence effects, residual stress redistribution, or a changing geometry factor during growth. Detailed SCC and crack assessments require qualified fracture mechanics and representative toughness.</w:t>
      </w:r>
    </w:p>
    <w:p>
      <w:pPr>
        <w:spacing w:after="80"/>
        <w:jc w:val="center"/>
      </w:pPr>
      <w:r>
        <w:drawing>
          <wp:inline xmlns:a="http://schemas.openxmlformats.org/drawingml/2006/main" xmlns:pic="http://schemas.openxmlformats.org/drawingml/2006/picture">
            <wp:extent cx="5806440" cy="2941930"/>
            <wp:docPr id="11" name="Picture 11" descr="Figure 11. Current-model SCC colony representation. Multiple crack IDs become separate crack paths, each represented by omitted triangles and a crack-front line."/>
            <wp:cNvGraphicFramePr>
              <a:graphicFrameLocks noChangeAspect="1"/>
            </wp:cNvGraphicFramePr>
            <a:graphic>
              <a:graphicData uri="http://schemas.openxmlformats.org/drawingml/2006/picture">
                <pic:pic>
                  <pic:nvPicPr>
                    <pic:cNvPr id="0" name="model_scc_colony.png"/>
                    <pic:cNvPicPr/>
                  </pic:nvPicPr>
                  <pic:blipFill>
                    <a:blip r:embed="rId21"/>
                    <a:stretch>
                      <a:fillRect/>
                    </a:stretch>
                  </pic:blipFill>
                  <pic:spPr>
                    <a:xfrm>
                      <a:off x="0" y="0"/>
                      <a:ext cx="5806440" cy="2941930"/>
                    </a:xfrm>
                    <a:prstGeom prst="rect"/>
                  </pic:spPr>
                </pic:pic>
              </a:graphicData>
            </a:graphic>
          </wp:inline>
        </w:drawing>
      </w:r>
    </w:p>
    <w:p>
      <w:pPr>
        <w:spacing w:after="200"/>
        <w:jc w:val="center"/>
      </w:pPr>
      <w:r>
        <w:rPr>
          <w:rFonts w:ascii="Calibri" w:hAnsi="Calibri"/>
          <w:i/>
          <w:color w:val="6B7280"/>
          <w:sz w:val="18"/>
        </w:rPr>
        <w:t>Figure 11. Current-model SCC colony representation. Multiple crack IDs become separate crack paths, each represented by omitted triangles and a crack-front line.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5F3"/>
          </w:tcPr>
          <w:p>
            <w:pPr>
              <w:spacing w:after="0"/>
            </w:pPr>
            <w:r>
              <w:rPr>
                <w:rFonts w:ascii="Calibri" w:hAnsi="Calibri"/>
                <w:b/>
                <w:color w:val="0B7A75"/>
                <w:sz w:val="21"/>
              </w:rPr>
              <w:t xml:space="preserve">Verification status: </w:t>
            </w:r>
            <w:r>
              <w:rPr>
                <w:rFonts w:ascii="Calibri" w:hAnsi="Calibri"/>
                <w:color w:val="111827"/>
                <w:sz w:val="21"/>
              </w:rPr>
              <w:t>The crack and SCC representations have geometry/data-flow verification only. Published XFEM and full-scale results support the need for explicit crack propagation models, but no claim is made that the browser void representation reproduces XFEM/J-integral results.</w:t>
            </w:r>
          </w:p>
        </w:tc>
      </w:tr>
    </w:tbl>
    <w:p>
      <w:pPr>
        <w:spacing w:after="20"/>
      </w:pPr>
    </w:p>
    <w:p>
      <w:r>
        <w:br w:type="page"/>
      </w:r>
    </w:p>
    <w:p>
      <w:pPr>
        <w:pStyle w:val="Heading1"/>
        <w:keepNext/>
      </w:pPr>
      <w:r>
        <w:t>10. Reliability and Uncertainty Propagation</w:t>
      </w:r>
    </w:p>
    <w:p>
      <w:pPr>
        <w:spacing w:before="0" w:after="160" w:line="320" w:lineRule="auto"/>
      </w:pPr>
      <w:r>
        <w:rPr>
          <w:rFonts w:ascii="Calibri" w:hAnsi="Calibri"/>
          <w:b w:val="0"/>
          <w:i w:val="0"/>
          <w:color w:val="111827"/>
          <w:sz w:val="22"/>
        </w:rPr>
        <w:t>Reliability is calculated separately from deterministic pressure margin. The present Monte Carlo implementation samples depth, scaled length, pressure demand, and multiplicative surrogate error. It reports empirical failure probability and a continuity-corrected reliability index.</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tcMar>
              <w:top w:w="80" w:type="dxa"/>
              <w:start w:w="120" w:type="dxa"/>
              <w:bottom w:w="80" w:type="dxa"/>
              <w:end w:w="120" w:type="dxa"/>
            </w:tcMar>
            <w:vAlign w:val="center"/>
            <w:shd w:fill="F4F6F9"/>
          </w:tcPr>
          <w:p>
            <w:pPr>
              <w:spacing w:after="0"/>
              <w:jc w:val="center"/>
            </w:pPr>
            <w:r>
              <w:rPr>
                <w:rFonts w:ascii="Calibri" w:hAnsi="Calibri"/>
                <w:b/>
                <w:color w:val="1F4D78"/>
                <w:sz w:val="18"/>
              </w:rPr>
              <w:t>Uncertain quantity</w:t>
            </w:r>
          </w:p>
        </w:tc>
        <w:tc>
          <w:tcPr>
            <w:tcW w:type="dxa" w:w="3000"/>
            <w:tcMar>
              <w:top w:w="80" w:type="dxa"/>
              <w:start w:w="120" w:type="dxa"/>
              <w:bottom w:w="80" w:type="dxa"/>
              <w:end w:w="120" w:type="dxa"/>
            </w:tcMar>
            <w:vAlign w:val="center"/>
            <w:shd w:fill="F4F6F9"/>
          </w:tcPr>
          <w:p>
            <w:pPr>
              <w:spacing w:after="0"/>
              <w:jc w:val="center"/>
            </w:pPr>
            <w:r>
              <w:rPr>
                <w:rFonts w:ascii="Calibri" w:hAnsi="Calibri"/>
                <w:b/>
                <w:color w:val="1F4D78"/>
                <w:sz w:val="18"/>
              </w:rPr>
              <w:t>Current distribution</w:t>
            </w:r>
          </w:p>
        </w:tc>
        <w:tc>
          <w:tcPr>
            <w:tcW w:type="dxa" w:w="4160"/>
            <w:tcMar>
              <w:top w:w="80" w:type="dxa"/>
              <w:start w:w="120" w:type="dxa"/>
              <w:bottom w:w="80" w:type="dxa"/>
              <w:end w:w="120" w:type="dxa"/>
            </w:tcMar>
            <w:vAlign w:val="center"/>
            <w:shd w:fill="F4F6F9"/>
          </w:tcPr>
          <w:p>
            <w:pPr>
              <w:spacing w:after="0"/>
              <w:jc w:val="center"/>
            </w:pPr>
            <w:r>
              <w:rPr>
                <w:rFonts w:ascii="Calibri" w:hAnsi="Calibri"/>
                <w:b/>
                <w:color w:val="1F4D78"/>
                <w:sz w:val="18"/>
              </w:rPr>
              <w:t>Important missing refinements</w:t>
            </w:r>
          </w:p>
        </w:tc>
      </w:tr>
      <w:tr>
        <w:tc>
          <w:tcPr>
            <w:tcW w:type="dxa" w:w="2200"/>
          </w:tcPr>
          <w:p>
            <w:pPr>
              <w:spacing w:after="0"/>
              <w:jc w:val="center"/>
            </w:pPr>
            <w:r>
              <w:rPr>
                <w:rFonts w:ascii="Calibri" w:hAnsi="Calibri"/>
                <w:color w:val="111827"/>
                <w:sz w:val="18"/>
              </w:rPr>
              <w:t>Depth ratio</w:t>
            </w:r>
          </w:p>
        </w:tc>
        <w:tc>
          <w:tcPr>
            <w:tcW w:type="dxa" w:w="3000"/>
          </w:tcPr>
          <w:p>
            <w:pPr>
              <w:spacing w:after="0"/>
              <w:jc w:val="center"/>
            </w:pPr>
            <w:r>
              <w:rPr>
                <w:rFonts w:ascii="Calibri" w:hAnsi="Calibri"/>
                <w:color w:val="111827"/>
                <w:sz w:val="18"/>
              </w:rPr>
              <w:t>Truncated normal using depth COV</w:t>
            </w:r>
          </w:p>
        </w:tc>
        <w:tc>
          <w:tcPr>
            <w:tcW w:type="dxa" w:w="4160"/>
          </w:tcPr>
          <w:p>
            <w:pPr>
              <w:spacing w:after="0"/>
              <w:jc w:val="left"/>
            </w:pPr>
            <w:r>
              <w:rPr>
                <w:rFonts w:ascii="Calibri" w:hAnsi="Calibri"/>
                <w:color w:val="111827"/>
                <w:sz w:val="18"/>
              </w:rPr>
              <w:t>Tool-specific bias, POD, correlation with length/width, excavation calibration.</w:t>
            </w:r>
          </w:p>
        </w:tc>
      </w:tr>
      <w:tr>
        <w:tc>
          <w:tcPr>
            <w:tcW w:type="dxa" w:w="2200"/>
          </w:tcPr>
          <w:p>
            <w:pPr>
              <w:spacing w:after="0"/>
              <w:jc w:val="center"/>
            </w:pPr>
            <w:r>
              <w:rPr>
                <w:rFonts w:ascii="Calibri" w:hAnsi="Calibri"/>
                <w:color w:val="111827"/>
                <w:sz w:val="18"/>
              </w:rPr>
              <w:t>Length ratio</w:t>
            </w:r>
          </w:p>
        </w:tc>
        <w:tc>
          <w:tcPr>
            <w:tcW w:type="dxa" w:w="3000"/>
          </w:tcPr>
          <w:p>
            <w:pPr>
              <w:spacing w:after="0"/>
              <w:jc w:val="center"/>
            </w:pPr>
            <w:r>
              <w:rPr>
                <w:rFonts w:ascii="Calibri" w:hAnsi="Calibri"/>
                <w:color w:val="111827"/>
                <w:sz w:val="18"/>
              </w:rPr>
              <w:t>Truncated normal; 0.6 times depth COV</w:t>
            </w:r>
          </w:p>
        </w:tc>
        <w:tc>
          <w:tcPr>
            <w:tcW w:type="dxa" w:w="4160"/>
          </w:tcPr>
          <w:p>
            <w:pPr>
              <w:spacing w:after="0"/>
              <w:jc w:val="left"/>
            </w:pPr>
            <w:r>
              <w:rPr>
                <w:rFonts w:ascii="Calibri" w:hAnsi="Calibri"/>
                <w:color w:val="111827"/>
                <w:sz w:val="18"/>
              </w:rPr>
              <w:t>Independent length uncertainty and feature-registration error.</w:t>
            </w:r>
          </w:p>
        </w:tc>
      </w:tr>
      <w:tr>
        <w:tc>
          <w:tcPr>
            <w:tcW w:type="dxa" w:w="2200"/>
          </w:tcPr>
          <w:p>
            <w:pPr>
              <w:spacing w:after="0"/>
              <w:jc w:val="center"/>
            </w:pPr>
            <w:r>
              <w:rPr>
                <w:rFonts w:ascii="Calibri" w:hAnsi="Calibri"/>
                <w:color w:val="111827"/>
                <w:sz w:val="18"/>
              </w:rPr>
              <w:t>Pressure demand</w:t>
            </w:r>
          </w:p>
        </w:tc>
        <w:tc>
          <w:tcPr>
            <w:tcW w:type="dxa" w:w="3000"/>
          </w:tcPr>
          <w:p>
            <w:pPr>
              <w:spacing w:after="0"/>
              <w:jc w:val="center"/>
            </w:pPr>
            <w:r>
              <w:rPr>
                <w:rFonts w:ascii="Calibri" w:hAnsi="Calibri"/>
                <w:color w:val="111827"/>
                <w:sz w:val="18"/>
              </w:rPr>
              <w:t>Lower-truncated normal multiplier</w:t>
            </w:r>
          </w:p>
        </w:tc>
        <w:tc>
          <w:tcPr>
            <w:tcW w:type="dxa" w:w="4160"/>
          </w:tcPr>
          <w:p>
            <w:pPr>
              <w:spacing w:after="0"/>
              <w:jc w:val="left"/>
            </w:pPr>
            <w:r>
              <w:rPr>
                <w:rFonts w:ascii="Calibri" w:hAnsi="Calibri"/>
                <w:color w:val="111827"/>
                <w:sz w:val="18"/>
              </w:rPr>
              <w:t>Time history, transients, operating controls, pressure correlation.</w:t>
            </w:r>
          </w:p>
        </w:tc>
      </w:tr>
      <w:tr>
        <w:tc>
          <w:tcPr>
            <w:tcW w:type="dxa" w:w="2200"/>
          </w:tcPr>
          <w:p>
            <w:pPr>
              <w:spacing w:after="0"/>
              <w:jc w:val="center"/>
            </w:pPr>
            <w:r>
              <w:rPr>
                <w:rFonts w:ascii="Calibri" w:hAnsi="Calibri"/>
                <w:color w:val="111827"/>
                <w:sz w:val="18"/>
              </w:rPr>
              <w:t>Model error</w:t>
            </w:r>
          </w:p>
        </w:tc>
        <w:tc>
          <w:tcPr>
            <w:tcW w:type="dxa" w:w="3000"/>
          </w:tcPr>
          <w:p>
            <w:pPr>
              <w:spacing w:after="0"/>
              <w:jc w:val="center"/>
            </w:pPr>
            <w:r>
              <w:rPr>
                <w:rFonts w:ascii="Calibri" w:hAnsi="Calibri"/>
                <w:color w:val="111827"/>
                <w:sz w:val="18"/>
              </w:rPr>
              <w:t>Lower-truncated normal multiplier</w:t>
            </w:r>
          </w:p>
        </w:tc>
        <w:tc>
          <w:tcPr>
            <w:tcW w:type="dxa" w:w="4160"/>
          </w:tcPr>
          <w:p>
            <w:pPr>
              <w:spacing w:after="0"/>
              <w:jc w:val="left"/>
            </w:pPr>
            <w:r>
              <w:rPr>
                <w:rFonts w:ascii="Calibri" w:hAnsi="Calibri"/>
                <w:color w:val="111827"/>
                <w:sz w:val="18"/>
              </w:rPr>
              <w:t>Bias separated by defect class, pipe grade, and model domain.</w:t>
            </w:r>
          </w:p>
        </w:tc>
      </w:tr>
      <w:tr>
        <w:tc>
          <w:tcPr>
            <w:tcW w:type="dxa" w:w="2200"/>
          </w:tcPr>
          <w:p>
            <w:pPr>
              <w:spacing w:after="0"/>
              <w:jc w:val="center"/>
            </w:pPr>
            <w:r>
              <w:rPr>
                <w:rFonts w:ascii="Calibri" w:hAnsi="Calibri"/>
                <w:color w:val="111827"/>
                <w:sz w:val="18"/>
              </w:rPr>
              <w:t>Material and toughness</w:t>
            </w:r>
          </w:p>
        </w:tc>
        <w:tc>
          <w:tcPr>
            <w:tcW w:type="dxa" w:w="3000"/>
          </w:tcPr>
          <w:p>
            <w:pPr>
              <w:spacing w:after="0"/>
              <w:jc w:val="center"/>
            </w:pPr>
            <w:r>
              <w:rPr>
                <w:rFonts w:ascii="Calibri" w:hAnsi="Calibri"/>
                <w:color w:val="111827"/>
                <w:sz w:val="18"/>
              </w:rPr>
              <w:t>Not sampled in current surrogate path</w:t>
            </w:r>
          </w:p>
        </w:tc>
        <w:tc>
          <w:tcPr>
            <w:tcW w:type="dxa" w:w="4160"/>
          </w:tcPr>
          <w:p>
            <w:pPr>
              <w:spacing w:after="0"/>
              <w:jc w:val="left"/>
            </w:pPr>
            <w:r>
              <w:rPr>
                <w:rFonts w:ascii="Calibri" w:hAnsi="Calibri"/>
                <w:color w:val="111827"/>
                <w:sz w:val="18"/>
              </w:rPr>
              <w:t>Population distributions, spatial correlation, heat/lot data.</w:t>
            </w:r>
          </w:p>
        </w:tc>
      </w:tr>
      <w:tr>
        <w:tc>
          <w:tcPr>
            <w:tcW w:type="dxa" w:w="2200"/>
          </w:tcPr>
          <w:p>
            <w:pPr>
              <w:spacing w:after="0"/>
              <w:jc w:val="center"/>
            </w:pPr>
            <w:r>
              <w:rPr>
                <w:rFonts w:ascii="Calibri" w:hAnsi="Calibri"/>
                <w:color w:val="111827"/>
                <w:sz w:val="18"/>
              </w:rPr>
              <w:t>Growth</w:t>
            </w:r>
          </w:p>
        </w:tc>
        <w:tc>
          <w:tcPr>
            <w:tcW w:type="dxa" w:w="3000"/>
          </w:tcPr>
          <w:p>
            <w:pPr>
              <w:spacing w:after="0"/>
              <w:jc w:val="center"/>
            </w:pPr>
            <w:r>
              <w:rPr>
                <w:rFonts w:ascii="Calibri" w:hAnsi="Calibri"/>
                <w:color w:val="111827"/>
                <w:sz w:val="18"/>
              </w:rPr>
              <w:t>Not propagated in reliability loop</w:t>
            </w:r>
          </w:p>
        </w:tc>
        <w:tc>
          <w:tcPr>
            <w:tcW w:type="dxa" w:w="4160"/>
          </w:tcPr>
          <w:p>
            <w:pPr>
              <w:spacing w:after="0"/>
              <w:jc w:val="left"/>
            </w:pPr>
            <w:r>
              <w:rPr>
                <w:rFonts w:ascii="Calibri" w:hAnsi="Calibri"/>
                <w:color w:val="111827"/>
                <w:sz w:val="18"/>
              </w:rPr>
              <w:t>Corrosion/SCC growth uncertainty and inspection interval.</w:t>
            </w:r>
          </w:p>
        </w:tc>
      </w:tr>
    </w:tbl>
    <w:p>
      <w:pPr>
        <w:spacing w:after="40"/>
      </w:pPr>
    </w:p>
    <w:p>
      <w:pPr>
        <w:spacing w:before="0" w:after="160" w:line="320" w:lineRule="auto"/>
      </w:pPr>
      <w:r>
        <w:rPr>
          <w:rFonts w:ascii="Calibri" w:hAnsi="Calibri"/>
          <w:b w:val="0"/>
          <w:i w:val="0"/>
          <w:color w:val="111827"/>
          <w:sz w:val="22"/>
        </w:rPr>
        <w:t>A zero observed failure count does not imply zero risk. The implemented plotting probability (n_f + 0.5)/(N + 1) prevents an infinite reliability index, but rare-event decisions require more samples or specialized reliability methods.</w:t>
      </w:r>
    </w:p>
    <w:p>
      <w:r>
        <w:br w:type="page"/>
      </w:r>
    </w:p>
    <w:p>
      <w:pPr>
        <w:pStyle w:val="Heading1"/>
        <w:keepNext/>
      </w:pPr>
      <w:r>
        <w:t>11. Verification Matrix and Acceptance Criteria</w:t>
      </w:r>
    </w:p>
    <w:tbl>
      <w:tblPr>
        <w:tblStyle w:val="TableGrid"/>
        <w:tblW w:type="dxa" w:w="9360"/>
        <w:jc w:val="left"/>
        <w:tblLayout w:type="fixed"/>
        <w:tblLook w:firstColumn="1" w:firstRow="1" w:lastColumn="0" w:lastRow="0" w:noHBand="0" w:noVBand="1" w:val="04A0"/>
        <w:tblInd w:w="120" w:type="dxa"/>
      </w:tblPr>
      <w:tblGrid>
        <w:gridCol w:w="2000"/>
        <w:gridCol w:w="3300"/>
        <w:gridCol w:w="4060"/>
      </w:tblGrid>
      <w:tr>
        <w:trPr>
          <w:tblHeader w:val="true"/>
        </w:trPr>
        <w:tc>
          <w:tcPr>
            <w:tcW w:type="dxa" w:w="2000"/>
            <w:tcMar>
              <w:top w:w="80" w:type="dxa"/>
              <w:start w:w="120" w:type="dxa"/>
              <w:bottom w:w="80" w:type="dxa"/>
              <w:end w:w="120" w:type="dxa"/>
            </w:tcMar>
            <w:vAlign w:val="center"/>
            <w:shd w:fill="F4F6F9"/>
          </w:tcPr>
          <w:p>
            <w:pPr>
              <w:spacing w:after="0"/>
              <w:jc w:val="center"/>
            </w:pPr>
            <w:r>
              <w:rPr>
                <w:rFonts w:ascii="Calibri" w:hAnsi="Calibri"/>
                <w:b/>
                <w:color w:val="1F4D78"/>
                <w:sz w:val="18"/>
              </w:rPr>
              <w:t>Component</w:t>
            </w:r>
          </w:p>
        </w:tc>
        <w:tc>
          <w:tcPr>
            <w:tcW w:type="dxa" w:w="3300"/>
            <w:tcMar>
              <w:top w:w="80" w:type="dxa"/>
              <w:start w:w="120" w:type="dxa"/>
              <w:bottom w:w="80" w:type="dxa"/>
              <w:end w:w="120" w:type="dxa"/>
            </w:tcMar>
            <w:vAlign w:val="center"/>
            <w:shd w:fill="F4F6F9"/>
          </w:tcPr>
          <w:p>
            <w:pPr>
              <w:spacing w:after="0"/>
              <w:jc w:val="center"/>
            </w:pPr>
            <w:r>
              <w:rPr>
                <w:rFonts w:ascii="Calibri" w:hAnsi="Calibri"/>
                <w:b/>
                <w:color w:val="1F4D78"/>
                <w:sz w:val="18"/>
              </w:rPr>
              <w:t>Current evidence</w:t>
            </w:r>
          </w:p>
        </w:tc>
        <w:tc>
          <w:tcPr>
            <w:tcW w:type="dxa" w:w="4060"/>
            <w:tcMar>
              <w:top w:w="80" w:type="dxa"/>
              <w:start w:w="120" w:type="dxa"/>
              <w:bottom w:w="80" w:type="dxa"/>
              <w:end w:w="120" w:type="dxa"/>
            </w:tcMar>
            <w:vAlign w:val="center"/>
            <w:shd w:fill="F4F6F9"/>
          </w:tcPr>
          <w:p>
            <w:pPr>
              <w:spacing w:after="0"/>
              <w:jc w:val="center"/>
            </w:pPr>
            <w:r>
              <w:rPr>
                <w:rFonts w:ascii="Calibri" w:hAnsi="Calibri"/>
                <w:b/>
                <w:color w:val="1F4D78"/>
                <w:sz w:val="18"/>
              </w:rPr>
              <w:t>Required production acceptance</w:t>
            </w:r>
          </w:p>
        </w:tc>
      </w:tr>
      <w:tr>
        <w:tc>
          <w:tcPr>
            <w:tcW w:type="dxa" w:w="2000"/>
          </w:tcPr>
          <w:p>
            <w:pPr>
              <w:spacing w:after="0"/>
              <w:jc w:val="center"/>
            </w:pPr>
            <w:r>
              <w:rPr>
                <w:rFonts w:ascii="Calibri" w:hAnsi="Calibri"/>
                <w:color w:val="111827"/>
                <w:sz w:val="18"/>
              </w:rPr>
              <w:t>Raw-data parser</w:t>
            </w:r>
          </w:p>
        </w:tc>
        <w:tc>
          <w:tcPr>
            <w:tcW w:type="dxa" w:w="3300"/>
          </w:tcPr>
          <w:p>
            <w:pPr>
              <w:spacing w:after="0"/>
              <w:jc w:val="center"/>
            </w:pPr>
            <w:r>
              <w:rPr>
                <w:rFonts w:ascii="Calibri" w:hAnsi="Calibri"/>
                <w:color w:val="111827"/>
                <w:sz w:val="18"/>
              </w:rPr>
              <w:t>Unit tests and editable imported data</w:t>
            </w:r>
          </w:p>
        </w:tc>
        <w:tc>
          <w:tcPr>
            <w:tcW w:type="dxa" w:w="4060"/>
          </w:tcPr>
          <w:p>
            <w:pPr>
              <w:spacing w:after="0"/>
              <w:jc w:val="left"/>
            </w:pPr>
            <w:r>
              <w:rPr>
                <w:rFonts w:ascii="Calibri" w:hAnsi="Calibri"/>
                <w:color w:val="111827"/>
                <w:sz w:val="18"/>
              </w:rPr>
              <w:t>Tool-vendor schemas, malformed-file tests, unit and datum verification.</w:t>
            </w:r>
          </w:p>
        </w:tc>
      </w:tr>
      <w:tr>
        <w:tc>
          <w:tcPr>
            <w:tcW w:type="dxa" w:w="2000"/>
          </w:tcPr>
          <w:p>
            <w:pPr>
              <w:spacing w:after="0"/>
              <w:jc w:val="center"/>
            </w:pPr>
            <w:r>
              <w:rPr>
                <w:rFonts w:ascii="Calibri" w:hAnsi="Calibri"/>
                <w:color w:val="111827"/>
                <w:sz w:val="18"/>
              </w:rPr>
              <w:t>Geometry reconstruction</w:t>
            </w:r>
          </w:p>
        </w:tc>
        <w:tc>
          <w:tcPr>
            <w:tcW w:type="dxa" w:w="3300"/>
          </w:tcPr>
          <w:p>
            <w:pPr>
              <w:spacing w:after="0"/>
              <w:jc w:val="center"/>
            </w:pPr>
            <w:r>
              <w:rPr>
                <w:rFonts w:ascii="Calibri" w:hAnsi="Calibri"/>
                <w:color w:val="111827"/>
                <w:sz w:val="18"/>
              </w:rPr>
              <w:t>Visual/data-flow checks and model-reference figures</w:t>
            </w:r>
          </w:p>
        </w:tc>
        <w:tc>
          <w:tcPr>
            <w:tcW w:type="dxa" w:w="4060"/>
          </w:tcPr>
          <w:p>
            <w:pPr>
              <w:spacing w:after="0"/>
              <w:jc w:val="left"/>
            </w:pPr>
            <w:r>
              <w:rPr>
                <w:rFonts w:ascii="Calibri" w:hAnsi="Calibri"/>
                <w:color w:val="111827"/>
                <w:sz w:val="18"/>
              </w:rPr>
              <w:t>Laser scan or excavation comparison; depth, area, curvature, and registration error.</w:t>
            </w:r>
          </w:p>
        </w:tc>
      </w:tr>
      <w:tr>
        <w:tc>
          <w:tcPr>
            <w:tcW w:type="dxa" w:w="2000"/>
          </w:tcPr>
          <w:p>
            <w:pPr>
              <w:spacing w:after="0"/>
              <w:jc w:val="center"/>
            </w:pPr>
            <w:r>
              <w:rPr>
                <w:rFonts w:ascii="Calibri" w:hAnsi="Calibri"/>
                <w:color w:val="111827"/>
                <w:sz w:val="18"/>
              </w:rPr>
              <w:t>Adaptive topology</w:t>
            </w:r>
          </w:p>
        </w:tc>
        <w:tc>
          <w:tcPr>
            <w:tcW w:type="dxa" w:w="3300"/>
          </w:tcPr>
          <w:p>
            <w:pPr>
              <w:spacing w:after="0"/>
              <w:jc w:val="center"/>
            </w:pPr>
            <w:r>
              <w:rPr>
                <w:rFonts w:ascii="Calibri" w:hAnsi="Calibri"/>
                <w:color w:val="111827"/>
                <w:sz w:val="18"/>
              </w:rPr>
              <w:t>Single-mesh subdivision and crack-void checks</w:t>
            </w:r>
          </w:p>
        </w:tc>
        <w:tc>
          <w:tcPr>
            <w:tcW w:type="dxa" w:w="4060"/>
          </w:tcPr>
          <w:p>
            <w:pPr>
              <w:spacing w:after="0"/>
              <w:jc w:val="left"/>
            </w:pPr>
            <w:r>
              <w:rPr>
                <w:rFonts w:ascii="Calibri" w:hAnsi="Calibri"/>
                <w:color w:val="111827"/>
                <w:sz w:val="18"/>
              </w:rPr>
              <w:t>Element-quality metrics and solver-compatible export.</w:t>
            </w:r>
          </w:p>
        </w:tc>
      </w:tr>
      <w:tr>
        <w:tc>
          <w:tcPr>
            <w:tcW w:type="dxa" w:w="2000"/>
          </w:tcPr>
          <w:p>
            <w:pPr>
              <w:spacing w:after="0"/>
              <w:jc w:val="center"/>
            </w:pPr>
            <w:r>
              <w:rPr>
                <w:rFonts w:ascii="Calibri" w:hAnsi="Calibri"/>
                <w:color w:val="111827"/>
                <w:sz w:val="18"/>
              </w:rPr>
              <w:t>Corrosion surrogate</w:t>
            </w:r>
          </w:p>
        </w:tc>
        <w:tc>
          <w:tcPr>
            <w:tcW w:type="dxa" w:w="3300"/>
          </w:tcPr>
          <w:p>
            <w:pPr>
              <w:spacing w:after="0"/>
              <w:jc w:val="center"/>
            </w:pPr>
            <w:r>
              <w:rPr>
                <w:rFonts w:ascii="Calibri" w:hAnsi="Calibri"/>
                <w:color w:val="111827"/>
                <w:sz w:val="18"/>
              </w:rPr>
              <w:t>29-case reproduction plus source publications</w:t>
            </w:r>
          </w:p>
        </w:tc>
        <w:tc>
          <w:tcPr>
            <w:tcW w:type="dxa" w:w="4060"/>
          </w:tcPr>
          <w:p>
            <w:pPr>
              <w:spacing w:after="0"/>
              <w:jc w:val="left"/>
            </w:pPr>
            <w:r>
              <w:rPr>
                <w:rFonts w:ascii="Calibri" w:hAnsi="Calibri"/>
                <w:color w:val="111827"/>
                <w:sz w:val="18"/>
              </w:rPr>
              <w:t>Frozen independent blind holdout and operator-specific bias study.</w:t>
            </w:r>
          </w:p>
        </w:tc>
      </w:tr>
      <w:tr>
        <w:tc>
          <w:tcPr>
            <w:tcW w:type="dxa" w:w="2000"/>
          </w:tcPr>
          <w:p>
            <w:pPr>
              <w:spacing w:after="0"/>
              <w:jc w:val="center"/>
            </w:pPr>
            <w:r>
              <w:rPr>
                <w:rFonts w:ascii="Calibri" w:hAnsi="Calibri"/>
                <w:color w:val="111827"/>
                <w:sz w:val="18"/>
              </w:rPr>
              <w:t>Interaction heuristic</w:t>
            </w:r>
          </w:p>
        </w:tc>
        <w:tc>
          <w:tcPr>
            <w:tcW w:type="dxa" w:w="3300"/>
          </w:tcPr>
          <w:p>
            <w:pPr>
              <w:spacing w:after="0"/>
              <w:jc w:val="center"/>
            </w:pPr>
            <w:r>
              <w:rPr>
                <w:rFonts w:ascii="Calibri" w:hAnsi="Calibri"/>
                <w:color w:val="111827"/>
                <w:sz w:val="18"/>
              </w:rPr>
              <w:t>Trend consistency with source literature</w:t>
            </w:r>
          </w:p>
        </w:tc>
        <w:tc>
          <w:tcPr>
            <w:tcW w:type="dxa" w:w="4060"/>
          </w:tcPr>
          <w:p>
            <w:pPr>
              <w:spacing w:after="0"/>
              <w:jc w:val="left"/>
            </w:pPr>
            <w:r>
              <w:rPr>
                <w:rFonts w:ascii="Calibri" w:hAnsi="Calibri"/>
                <w:color w:val="111827"/>
                <w:sz w:val="18"/>
              </w:rPr>
              <w:t>Direct calibration against interacting full-scale tests or validated nonlinear FEA.</w:t>
            </w:r>
          </w:p>
        </w:tc>
      </w:tr>
      <w:tr>
        <w:tc>
          <w:tcPr>
            <w:tcW w:type="dxa" w:w="2000"/>
          </w:tcPr>
          <w:p>
            <w:pPr>
              <w:spacing w:after="0"/>
              <w:jc w:val="center"/>
            </w:pPr>
            <w:r>
              <w:rPr>
                <w:rFonts w:ascii="Calibri" w:hAnsi="Calibri"/>
                <w:color w:val="111827"/>
                <w:sz w:val="18"/>
              </w:rPr>
              <w:t>Dent screen</w:t>
            </w:r>
          </w:p>
        </w:tc>
        <w:tc>
          <w:tcPr>
            <w:tcW w:type="dxa" w:w="3300"/>
          </w:tcPr>
          <w:p>
            <w:pPr>
              <w:spacing w:after="0"/>
              <w:jc w:val="center"/>
            </w:pPr>
            <w:r>
              <w:rPr>
                <w:rFonts w:ascii="Calibri" w:hAnsi="Calibri"/>
                <w:color w:val="111827"/>
                <w:sz w:val="18"/>
              </w:rPr>
              <w:t>Adjacent published FEA/DNN evidence</w:t>
            </w:r>
          </w:p>
        </w:tc>
        <w:tc>
          <w:tcPr>
            <w:tcW w:type="dxa" w:w="4060"/>
          </w:tcPr>
          <w:p>
            <w:pPr>
              <w:spacing w:after="0"/>
              <w:jc w:val="left"/>
            </w:pPr>
            <w:r>
              <w:rPr>
                <w:rFonts w:ascii="Calibri" w:hAnsi="Calibri"/>
                <w:color w:val="111827"/>
                <w:sz w:val="18"/>
              </w:rPr>
              <w:t>API RP 1183-qualified method and full dent-profile validation.</w:t>
            </w:r>
          </w:p>
        </w:tc>
      </w:tr>
      <w:tr>
        <w:tc>
          <w:tcPr>
            <w:tcW w:type="dxa" w:w="2000"/>
          </w:tcPr>
          <w:p>
            <w:pPr>
              <w:spacing w:after="0"/>
              <w:jc w:val="center"/>
            </w:pPr>
            <w:r>
              <w:rPr>
                <w:rFonts w:ascii="Calibri" w:hAnsi="Calibri"/>
                <w:color w:val="111827"/>
                <w:sz w:val="18"/>
              </w:rPr>
              <w:t>Crack/SCC</w:t>
            </w:r>
          </w:p>
        </w:tc>
        <w:tc>
          <w:tcPr>
            <w:tcW w:type="dxa" w:w="3300"/>
          </w:tcPr>
          <w:p>
            <w:pPr>
              <w:spacing w:after="0"/>
              <w:jc w:val="center"/>
            </w:pPr>
            <w:r>
              <w:rPr>
                <w:rFonts w:ascii="Calibri" w:hAnsi="Calibri"/>
                <w:color w:val="111827"/>
                <w:sz w:val="18"/>
              </w:rPr>
              <w:t>Paris/fracture equations and adjacent XFEM evidence</w:t>
            </w:r>
          </w:p>
        </w:tc>
        <w:tc>
          <w:tcPr>
            <w:tcW w:type="dxa" w:w="4060"/>
          </w:tcPr>
          <w:p>
            <w:pPr>
              <w:spacing w:after="0"/>
              <w:jc w:val="left"/>
            </w:pPr>
            <w:r>
              <w:rPr>
                <w:rFonts w:ascii="Calibri" w:hAnsi="Calibri"/>
                <w:color w:val="111827"/>
                <w:sz w:val="18"/>
              </w:rPr>
              <w:t>FAD/J-integral/XFEM validation with toughness and crack morphology.</w:t>
            </w:r>
          </w:p>
        </w:tc>
      </w:tr>
      <w:tr>
        <w:tc>
          <w:tcPr>
            <w:tcW w:type="dxa" w:w="2000"/>
          </w:tcPr>
          <w:p>
            <w:pPr>
              <w:spacing w:after="0"/>
              <w:jc w:val="center"/>
            </w:pPr>
            <w:r>
              <w:rPr>
                <w:rFonts w:ascii="Calibri" w:hAnsi="Calibri"/>
                <w:color w:val="111827"/>
                <w:sz w:val="18"/>
              </w:rPr>
              <w:t>Reliability</w:t>
            </w:r>
          </w:p>
        </w:tc>
        <w:tc>
          <w:tcPr>
            <w:tcW w:type="dxa" w:w="3300"/>
          </w:tcPr>
          <w:p>
            <w:pPr>
              <w:spacing w:after="0"/>
              <w:jc w:val="center"/>
            </w:pPr>
            <w:r>
              <w:rPr>
                <w:rFonts w:ascii="Calibri" w:hAnsi="Calibri"/>
                <w:color w:val="111827"/>
                <w:sz w:val="18"/>
              </w:rPr>
              <w:t>Monte Carlo implementation checks</w:t>
            </w:r>
          </w:p>
        </w:tc>
        <w:tc>
          <w:tcPr>
            <w:tcW w:type="dxa" w:w="4060"/>
          </w:tcPr>
          <w:p>
            <w:pPr>
              <w:spacing w:after="0"/>
              <w:jc w:val="left"/>
            </w:pPr>
            <w:r>
              <w:rPr>
                <w:rFonts w:ascii="Calibri" w:hAnsi="Calibri"/>
                <w:color w:val="111827"/>
                <w:sz w:val="18"/>
              </w:rPr>
              <w:t>Calibrated distributions, correlations, target reliability, rare-event convergence.</w:t>
            </w:r>
          </w:p>
        </w:tc>
      </w:tr>
    </w:tbl>
    <w:p>
      <w:pPr>
        <w:spacing w:after="40"/>
      </w:pPr>
    </w:p>
    <w:p>
      <w:pPr>
        <w:pStyle w:val="Heading1"/>
        <w:keepNext/>
      </w:pPr>
      <w:r>
        <w:t>12. Limitations and Decision Rules</w:t>
      </w:r>
    </w:p>
    <w:p>
      <w:pPr>
        <w:pStyle w:val="ListBullet"/>
        <w:spacing w:after="80" w:line="290" w:lineRule="auto"/>
        <w:ind w:left="540" w:hanging="279"/>
      </w:pPr>
      <w:r>
        <w:rPr>
          <w:rFonts w:ascii="Calibri" w:hAnsi="Calibri"/>
          <w:color w:val="111827"/>
          <w:sz w:val="22"/>
        </w:rPr>
        <w:t>The 3D model is a reconstruction and mesh-reference visualization, not a nonlinear solver result.</w:t>
      </w:r>
    </w:p>
    <w:p>
      <w:pPr>
        <w:pStyle w:val="ListBullet"/>
        <w:spacing w:after="80" w:line="290" w:lineRule="auto"/>
        <w:ind w:left="540" w:hanging="279"/>
      </w:pPr>
      <w:r>
        <w:rPr>
          <w:rFonts w:ascii="Calibri" w:hAnsi="Calibri"/>
          <w:color w:val="111827"/>
          <w:sz w:val="22"/>
        </w:rPr>
        <w:t>The interaction factor, dent pressure relation, and equivalent-strain relation are current software screening heuristics and need direct calibration before safety-critical use.</w:t>
      </w:r>
    </w:p>
    <w:p>
      <w:pPr>
        <w:pStyle w:val="ListBullet"/>
        <w:spacing w:after="80" w:line="290" w:lineRule="auto"/>
        <w:ind w:left="540" w:hanging="279"/>
      </w:pPr>
      <w:r>
        <w:rPr>
          <w:rFonts w:ascii="Calibri" w:hAnsi="Calibri"/>
          <w:color w:val="111827"/>
          <w:sz w:val="22"/>
        </w:rPr>
        <w:t>ANN/DNN predictions are advisory and restricted to the published normalized corrosion domain.</w:t>
      </w:r>
    </w:p>
    <w:p>
      <w:pPr>
        <w:pStyle w:val="ListBullet"/>
        <w:spacing w:after="80" w:line="290" w:lineRule="auto"/>
        <w:ind w:left="540" w:hanging="279"/>
      </w:pPr>
      <w:r>
        <w:rPr>
          <w:rFonts w:ascii="Calibri" w:hAnsi="Calibri"/>
          <w:color w:val="111827"/>
          <w:sz w:val="22"/>
        </w:rPr>
        <w:t>Published validations from different pipe grades and defect classes are corroborating evidence, not interchangeable datasets.</w:t>
      </w:r>
    </w:p>
    <w:p>
      <w:pPr>
        <w:pStyle w:val="ListBullet"/>
        <w:spacing w:after="80" w:line="290" w:lineRule="auto"/>
        <w:ind w:left="540" w:hanging="279"/>
      </w:pPr>
      <w:r>
        <w:rPr>
          <w:rFonts w:ascii="Calibri" w:hAnsi="Calibri"/>
          <w:color w:val="111827"/>
          <w:sz w:val="22"/>
        </w:rPr>
        <w:t>MOP must be governed by an applicable standard method or a qualified nonlinear FEA/ECA, including the correct code edition and operator procedures.</w:t>
      </w:r>
    </w:p>
    <w:p>
      <w:pPr>
        <w:pStyle w:val="ListBullet"/>
        <w:spacing w:after="80" w:line="290" w:lineRule="auto"/>
        <w:ind w:left="540" w:hanging="279"/>
      </w:pPr>
      <w:r>
        <w:rPr>
          <w:rFonts w:ascii="Calibri" w:hAnsi="Calibri"/>
          <w:color w:val="111827"/>
          <w:sz w:val="22"/>
        </w:rPr>
        <w:t>Mesh density must be supported by convergence, element-quality, material-model, boundary-condition, and failure-criterion verification.</w:t>
      </w:r>
    </w:p>
    <w:p>
      <w:pPr>
        <w:pStyle w:val="ListBullet"/>
        <w:spacing w:after="80" w:line="290" w:lineRule="auto"/>
        <w:ind w:left="540" w:hanging="279"/>
      </w:pPr>
      <w:r>
        <w:rPr>
          <w:rFonts w:ascii="Calibri" w:hAnsi="Calibri"/>
          <w:color w:val="111827"/>
          <w:sz w:val="22"/>
        </w:rPr>
        <w:t>Fatigue and SCC require pressure-history quality, environmental effects, toughness, residual stress, crack morphology, and growth-law calibration.</w:t>
      </w:r>
    </w:p>
    <w:p>
      <w:r>
        <w:br w:type="page"/>
      </w:r>
    </w:p>
    <w:p>
      <w:pPr>
        <w:pStyle w:val="Heading1"/>
        <w:keepNext/>
      </w:pPr>
      <w:r>
        <w:t>13. Qualification Roadmap</w:t>
      </w:r>
    </w:p>
    <w:p>
      <w:pPr>
        <w:pStyle w:val="ListNumber"/>
        <w:spacing w:after="80" w:line="290" w:lineRule="auto"/>
        <w:ind w:left="540" w:hanging="279"/>
      </w:pPr>
      <w:r>
        <w:rPr>
          <w:rFonts w:ascii="Calibri" w:hAnsi="Calibri"/>
          <w:color w:val="111827"/>
          <w:sz w:val="22"/>
        </w:rPr>
        <w:t>Freeze versioned equations, coefficients, datasets, and expected outputs under model-change control.</w:t>
      </w:r>
    </w:p>
    <w:p>
      <w:pPr>
        <w:pStyle w:val="ListNumber"/>
        <w:spacing w:after="80" w:line="290" w:lineRule="auto"/>
        <w:ind w:left="540" w:hanging="279"/>
      </w:pPr>
      <w:r>
        <w:rPr>
          <w:rFonts w:ascii="Calibri" w:hAnsi="Calibri"/>
          <w:color w:val="111827"/>
          <w:sz w:val="22"/>
        </w:rPr>
        <w:t>Create solver-ready shell/solid exports preserving raw MFL, caliper, and crack geometry.</w:t>
      </w:r>
    </w:p>
    <w:p>
      <w:pPr>
        <w:pStyle w:val="ListNumber"/>
        <w:spacing w:after="80" w:line="290" w:lineRule="auto"/>
        <w:ind w:left="540" w:hanging="279"/>
      </w:pPr>
      <w:r>
        <w:rPr>
          <w:rFonts w:ascii="Calibri" w:hAnsi="Calibri"/>
          <w:color w:val="111827"/>
          <w:sz w:val="22"/>
        </w:rPr>
        <w:t>Run element-size and model-length convergence studies for every defect class and interaction type.</w:t>
      </w:r>
    </w:p>
    <w:p>
      <w:pPr>
        <w:pStyle w:val="ListNumber"/>
        <w:spacing w:after="80" w:line="290" w:lineRule="auto"/>
        <w:ind w:left="540" w:hanging="279"/>
      </w:pPr>
      <w:r>
        <w:rPr>
          <w:rFonts w:ascii="Calibri" w:hAnsi="Calibri"/>
          <w:color w:val="111827"/>
          <w:sz w:val="22"/>
        </w:rPr>
        <w:t>Validate reconstructed geometry against excavation, laser scan, or high-resolution metrology.</w:t>
      </w:r>
    </w:p>
    <w:p>
      <w:pPr>
        <w:pStyle w:val="ListNumber"/>
        <w:spacing w:after="80" w:line="290" w:lineRule="auto"/>
        <w:ind w:left="540" w:hanging="279"/>
      </w:pPr>
      <w:r>
        <w:rPr>
          <w:rFonts w:ascii="Calibri" w:hAnsi="Calibri"/>
          <w:color w:val="111827"/>
          <w:sz w:val="22"/>
        </w:rPr>
        <w:t>Build independent blind datasets for single corrosion, interacting corrosion, dents, cracks, SCC colonies, and mixed defects.</w:t>
      </w:r>
    </w:p>
    <w:p>
      <w:pPr>
        <w:pStyle w:val="ListNumber"/>
        <w:spacing w:after="80" w:line="290" w:lineRule="auto"/>
        <w:ind w:left="540" w:hanging="279"/>
      </w:pPr>
      <w:r>
        <w:rPr>
          <w:rFonts w:ascii="Calibri" w:hAnsi="Calibri"/>
          <w:color w:val="111827"/>
          <w:sz w:val="22"/>
        </w:rPr>
        <w:t>Calibrate model bias and uncertainty by pipe grade, D/t, inspection technology, defect class, and loading regime.</w:t>
      </w:r>
    </w:p>
    <w:p>
      <w:pPr>
        <w:pStyle w:val="ListNumber"/>
        <w:spacing w:after="80" w:line="290" w:lineRule="auto"/>
        <w:ind w:left="540" w:hanging="279"/>
      </w:pPr>
      <w:r>
        <w:rPr>
          <w:rFonts w:ascii="Calibri" w:hAnsi="Calibri"/>
          <w:color w:val="111827"/>
          <w:sz w:val="22"/>
        </w:rPr>
        <w:t>Compare deterministic and probabilistic outputs against operator-approved acceptance criteria and target reliability.</w:t>
      </w:r>
    </w:p>
    <w:p>
      <w:pPr>
        <w:pStyle w:val="ListNumber"/>
        <w:spacing w:after="80" w:line="290" w:lineRule="auto"/>
        <w:ind w:left="540" w:hanging="279"/>
      </w:pPr>
      <w:r>
        <w:rPr>
          <w:rFonts w:ascii="Calibri" w:hAnsi="Calibri"/>
          <w:color w:val="111827"/>
          <w:sz w:val="22"/>
        </w:rPr>
        <w:t>Require qualified engineering review whenever a case is outside domain, near an acceptance boundary, or controlled by crack/dent interaction.</w:t>
      </w:r>
    </w:p>
    <w:p>
      <w:pPr>
        <w:pStyle w:val="Heading1"/>
        <w:keepNext/>
      </w:pPr>
      <w:r>
        <w:t>14. Conclusion</w:t>
      </w:r>
    </w:p>
    <w:p>
      <w:pPr>
        <w:spacing w:before="0" w:after="160" w:line="320" w:lineRule="auto"/>
      </w:pPr>
      <w:r>
        <w:rPr>
          <w:rFonts w:ascii="Calibri" w:hAnsi="Calibri"/>
          <w:b w:val="0"/>
          <w:i w:val="0"/>
          <w:color w:val="111827"/>
          <w:sz w:val="22"/>
        </w:rPr>
        <w:t>The current module provides an integrated and transparent engineering workflow: raw ILI data are translated into anomaly geometry; one adaptive shell topology represents metal loss, dents, cracks, and SCC paths; deterministic screening, fatigue, surrogate, and reliability calculations are executed; and a governing pressure and disposition are reported. The corrosion surrogate reproduces its selected published FEA cases closely, and multiple primary publications support the broader FEA-plus-machine-learning approach. The evidence does not yet constitute full qualification of every defect class or of a nonlinear FEA solver. The equations, variables, limitations, and verification roadmap in this paper define exactly what is implemented and what remains to be validated.</w:t>
      </w:r>
    </w:p>
    <w:p>
      <w:r>
        <w:br w:type="page"/>
      </w:r>
    </w:p>
    <w:p>
      <w:pPr>
        <w:pStyle w:val="Heading1"/>
        <w:keepNext/>
      </w:pPr>
      <w:r>
        <w:t>Embedded Neural-Network Coefficients</w:t>
      </w:r>
    </w:p>
    <w:p>
      <w:pPr>
        <w:spacing w:before="0" w:after="160" w:line="320" w:lineRule="auto"/>
      </w:pPr>
      <w:r>
        <w:rPr>
          <w:rFonts w:ascii="Calibri" w:hAnsi="Calibri"/>
          <w:b w:val="0"/>
          <w:i w:val="0"/>
          <w:color w:val="111827"/>
          <w:sz w:val="22"/>
        </w:rPr>
        <w:t>The following tables expose the numerical coefficients executed by the software. Rows are input or preceding-layer neurons; columns are receiving neurons. Biases are listed in the final row for each layer.</w:t>
      </w:r>
    </w:p>
    <w:p>
      <w:pPr>
        <w:pStyle w:val="Heading2"/>
        <w:keepNext/>
      </w:pPr>
      <w:r>
        <w:t>ANN (4-8-1)</w:t>
      </w:r>
    </w:p>
    <w:p>
      <w:pPr>
        <w:pStyle w:val="Heading3"/>
        <w:keepNext/>
      </w:pPr>
      <w:r>
        <w:t>Layer 1</w:t>
      </w:r>
    </w:p>
    <w:tbl>
      <w:tblPr>
        <w:tblStyle w:val="TableGrid"/>
        <w:tblW w:type="dxa" w:w="9360"/>
        <w:jc w:val="left"/>
        <w:tblLayout w:type="fixed"/>
        <w:tblLook w:firstColumn="1" w:firstRow="1" w:lastColumn="0" w:lastRow="0" w:noHBand="0" w:noVBand="1" w:val="04A0"/>
        <w:tblInd w:w="120" w:type="dxa"/>
      </w:tblPr>
      <w:tblGrid>
        <w:gridCol w:w="1500"/>
        <w:gridCol w:w="982"/>
        <w:gridCol w:w="982"/>
        <w:gridCol w:w="982"/>
        <w:gridCol w:w="982"/>
        <w:gridCol w:w="982"/>
        <w:gridCol w:w="982"/>
        <w:gridCol w:w="982"/>
        <w:gridCol w:w="986"/>
      </w:tblGrid>
      <w:tr>
        <w:trPr>
          <w:tblHeader w:val="true"/>
        </w:trPr>
        <w:tc>
          <w:tcPr>
            <w:tcW w:type="dxa" w:w="1500"/>
            <w:tcMar>
              <w:top w:w="80" w:type="dxa"/>
              <w:start w:w="120" w:type="dxa"/>
              <w:bottom w:w="80" w:type="dxa"/>
              <w:end w:w="120" w:type="dxa"/>
            </w:tcMar>
            <w:vAlign w:val="center"/>
            <w:shd w:fill="F4F6F9"/>
          </w:tcPr>
          <w:p>
            <w:pPr>
              <w:spacing w:after="0"/>
              <w:jc w:val="center"/>
            </w:pPr>
            <w:r>
              <w:rPr>
                <w:rFonts w:ascii="Calibri" w:hAnsi="Calibri"/>
                <w:b/>
                <w:color w:val="1F4D78"/>
                <w:sz w:val="18"/>
              </w:rPr>
              <w:t>From / bias</w:t>
            </w:r>
          </w:p>
        </w:tc>
        <w:tc>
          <w:tcPr>
            <w:tcW w:type="dxa" w:w="982"/>
            <w:tcMar>
              <w:top w:w="80" w:type="dxa"/>
              <w:start w:w="120" w:type="dxa"/>
              <w:bottom w:w="80" w:type="dxa"/>
              <w:end w:w="120" w:type="dxa"/>
            </w:tcMar>
            <w:vAlign w:val="center"/>
            <w:shd w:fill="F4F6F9"/>
          </w:tcPr>
          <w:p>
            <w:pPr>
              <w:spacing w:after="0"/>
              <w:jc w:val="center"/>
            </w:pPr>
            <w:r>
              <w:rPr>
                <w:rFonts w:ascii="Calibri" w:hAnsi="Calibri"/>
                <w:b/>
                <w:color w:val="1F4D78"/>
                <w:sz w:val="18"/>
              </w:rPr>
              <w:t>N1</w:t>
            </w:r>
          </w:p>
        </w:tc>
        <w:tc>
          <w:tcPr>
            <w:tcW w:type="dxa" w:w="982"/>
            <w:tcMar>
              <w:top w:w="80" w:type="dxa"/>
              <w:start w:w="120" w:type="dxa"/>
              <w:bottom w:w="80" w:type="dxa"/>
              <w:end w:w="120" w:type="dxa"/>
            </w:tcMar>
            <w:vAlign w:val="center"/>
            <w:shd w:fill="F4F6F9"/>
          </w:tcPr>
          <w:p>
            <w:pPr>
              <w:spacing w:after="0"/>
              <w:jc w:val="center"/>
            </w:pPr>
            <w:r>
              <w:rPr>
                <w:rFonts w:ascii="Calibri" w:hAnsi="Calibri"/>
                <w:b/>
                <w:color w:val="1F4D78"/>
                <w:sz w:val="18"/>
              </w:rPr>
              <w:t>N2</w:t>
            </w:r>
          </w:p>
        </w:tc>
        <w:tc>
          <w:tcPr>
            <w:tcW w:type="dxa" w:w="982"/>
            <w:tcMar>
              <w:top w:w="80" w:type="dxa"/>
              <w:start w:w="120" w:type="dxa"/>
              <w:bottom w:w="80" w:type="dxa"/>
              <w:end w:w="120" w:type="dxa"/>
            </w:tcMar>
            <w:vAlign w:val="center"/>
            <w:shd w:fill="F4F6F9"/>
          </w:tcPr>
          <w:p>
            <w:pPr>
              <w:spacing w:after="0"/>
              <w:jc w:val="center"/>
            </w:pPr>
            <w:r>
              <w:rPr>
                <w:rFonts w:ascii="Calibri" w:hAnsi="Calibri"/>
                <w:b/>
                <w:color w:val="1F4D78"/>
                <w:sz w:val="18"/>
              </w:rPr>
              <w:t>N3</w:t>
            </w:r>
          </w:p>
        </w:tc>
        <w:tc>
          <w:tcPr>
            <w:tcW w:type="dxa" w:w="982"/>
            <w:tcMar>
              <w:top w:w="80" w:type="dxa"/>
              <w:start w:w="120" w:type="dxa"/>
              <w:bottom w:w="80" w:type="dxa"/>
              <w:end w:w="120" w:type="dxa"/>
            </w:tcMar>
            <w:vAlign w:val="center"/>
            <w:shd w:fill="F4F6F9"/>
          </w:tcPr>
          <w:p>
            <w:pPr>
              <w:spacing w:after="0"/>
              <w:jc w:val="center"/>
            </w:pPr>
            <w:r>
              <w:rPr>
                <w:rFonts w:ascii="Calibri" w:hAnsi="Calibri"/>
                <w:b/>
                <w:color w:val="1F4D78"/>
                <w:sz w:val="18"/>
              </w:rPr>
              <w:t>N4</w:t>
            </w:r>
          </w:p>
        </w:tc>
        <w:tc>
          <w:tcPr>
            <w:tcW w:type="dxa" w:w="982"/>
            <w:tcMar>
              <w:top w:w="80" w:type="dxa"/>
              <w:start w:w="120" w:type="dxa"/>
              <w:bottom w:w="80" w:type="dxa"/>
              <w:end w:w="120" w:type="dxa"/>
            </w:tcMar>
            <w:vAlign w:val="center"/>
            <w:shd w:fill="F4F6F9"/>
          </w:tcPr>
          <w:p>
            <w:pPr>
              <w:spacing w:after="0"/>
              <w:jc w:val="center"/>
            </w:pPr>
            <w:r>
              <w:rPr>
                <w:rFonts w:ascii="Calibri" w:hAnsi="Calibri"/>
                <w:b/>
                <w:color w:val="1F4D78"/>
                <w:sz w:val="18"/>
              </w:rPr>
              <w:t>N5</w:t>
            </w:r>
          </w:p>
        </w:tc>
        <w:tc>
          <w:tcPr>
            <w:tcW w:type="dxa" w:w="982"/>
            <w:tcMar>
              <w:top w:w="80" w:type="dxa"/>
              <w:start w:w="120" w:type="dxa"/>
              <w:bottom w:w="80" w:type="dxa"/>
              <w:end w:w="120" w:type="dxa"/>
            </w:tcMar>
            <w:vAlign w:val="center"/>
            <w:shd w:fill="F4F6F9"/>
          </w:tcPr>
          <w:p>
            <w:pPr>
              <w:spacing w:after="0"/>
              <w:jc w:val="center"/>
            </w:pPr>
            <w:r>
              <w:rPr>
                <w:rFonts w:ascii="Calibri" w:hAnsi="Calibri"/>
                <w:b/>
                <w:color w:val="1F4D78"/>
                <w:sz w:val="18"/>
              </w:rPr>
              <w:t>N6</w:t>
            </w:r>
          </w:p>
        </w:tc>
        <w:tc>
          <w:tcPr>
            <w:tcW w:type="dxa" w:w="982"/>
            <w:tcMar>
              <w:top w:w="80" w:type="dxa"/>
              <w:start w:w="120" w:type="dxa"/>
              <w:bottom w:w="80" w:type="dxa"/>
              <w:end w:w="120" w:type="dxa"/>
            </w:tcMar>
            <w:vAlign w:val="center"/>
            <w:shd w:fill="F4F6F9"/>
          </w:tcPr>
          <w:p>
            <w:pPr>
              <w:spacing w:after="0"/>
              <w:jc w:val="center"/>
            </w:pPr>
            <w:r>
              <w:rPr>
                <w:rFonts w:ascii="Calibri" w:hAnsi="Calibri"/>
                <w:b/>
                <w:color w:val="1F4D78"/>
                <w:sz w:val="18"/>
              </w:rPr>
              <w:t>N7</w:t>
            </w:r>
          </w:p>
        </w:tc>
        <w:tc>
          <w:tcPr>
            <w:tcW w:type="dxa" w:w="986"/>
            <w:tcMar>
              <w:top w:w="80" w:type="dxa"/>
              <w:start w:w="120" w:type="dxa"/>
              <w:bottom w:w="80" w:type="dxa"/>
              <w:end w:w="120" w:type="dxa"/>
            </w:tcMar>
            <w:vAlign w:val="center"/>
            <w:shd w:fill="F4F6F9"/>
          </w:tcPr>
          <w:p>
            <w:pPr>
              <w:spacing w:after="0"/>
              <w:jc w:val="center"/>
            </w:pPr>
            <w:r>
              <w:rPr>
                <w:rFonts w:ascii="Calibri" w:hAnsi="Calibri"/>
                <w:b/>
                <w:color w:val="1F4D78"/>
                <w:sz w:val="18"/>
              </w:rPr>
              <w:t>N8</w:t>
            </w:r>
          </w:p>
        </w:tc>
      </w:tr>
      <w:tr>
        <w:tc>
          <w:tcPr>
            <w:tcW w:type="dxa" w:w="1500"/>
          </w:tcPr>
          <w:p>
            <w:pPr>
              <w:spacing w:after="0"/>
              <w:jc w:val="center"/>
            </w:pPr>
            <w:r>
              <w:rPr>
                <w:rFonts w:ascii="Calibri" w:hAnsi="Calibri"/>
                <w:color w:val="111827"/>
                <w:sz w:val="18"/>
              </w:rPr>
              <w:t>Input N1</w:t>
            </w:r>
          </w:p>
        </w:tc>
        <w:tc>
          <w:tcPr>
            <w:tcW w:type="dxa" w:w="982"/>
          </w:tcPr>
          <w:p>
            <w:pPr>
              <w:spacing w:after="0"/>
              <w:jc w:val="center"/>
            </w:pPr>
            <w:r>
              <w:rPr>
                <w:rFonts w:ascii="Calibri" w:hAnsi="Calibri"/>
                <w:color w:val="111827"/>
                <w:sz w:val="18"/>
              </w:rPr>
              <w:t>-1.04943817</w:t>
            </w:r>
          </w:p>
        </w:tc>
        <w:tc>
          <w:tcPr>
            <w:tcW w:type="dxa" w:w="982"/>
          </w:tcPr>
          <w:p>
            <w:pPr>
              <w:spacing w:after="0"/>
              <w:jc w:val="center"/>
            </w:pPr>
            <w:r>
              <w:rPr>
                <w:rFonts w:ascii="Calibri" w:hAnsi="Calibri"/>
                <w:color w:val="111827"/>
                <w:sz w:val="18"/>
              </w:rPr>
              <w:t>-0.24428267</w:t>
            </w:r>
          </w:p>
        </w:tc>
        <w:tc>
          <w:tcPr>
            <w:tcW w:type="dxa" w:w="982"/>
          </w:tcPr>
          <w:p>
            <w:pPr>
              <w:spacing w:after="0"/>
              <w:jc w:val="center"/>
            </w:pPr>
            <w:r>
              <w:rPr>
                <w:rFonts w:ascii="Calibri" w:hAnsi="Calibri"/>
                <w:color w:val="111827"/>
                <w:sz w:val="18"/>
              </w:rPr>
              <w:t>0.48011117</w:t>
            </w:r>
          </w:p>
        </w:tc>
        <w:tc>
          <w:tcPr>
            <w:tcW w:type="dxa" w:w="982"/>
          </w:tcPr>
          <w:p>
            <w:pPr>
              <w:spacing w:after="0"/>
              <w:jc w:val="center"/>
            </w:pPr>
            <w:r>
              <w:rPr>
                <w:rFonts w:ascii="Calibri" w:hAnsi="Calibri"/>
                <w:color w:val="111827"/>
                <w:sz w:val="18"/>
              </w:rPr>
              <w:t>0.64114515</w:t>
            </w:r>
          </w:p>
        </w:tc>
        <w:tc>
          <w:tcPr>
            <w:tcW w:type="dxa" w:w="982"/>
          </w:tcPr>
          <w:p>
            <w:pPr>
              <w:spacing w:after="0"/>
              <w:jc w:val="center"/>
            </w:pPr>
            <w:r>
              <w:rPr>
                <w:rFonts w:ascii="Calibri" w:hAnsi="Calibri"/>
                <w:color w:val="111827"/>
                <w:sz w:val="18"/>
              </w:rPr>
              <w:t>-1.01045526</w:t>
            </w:r>
          </w:p>
        </w:tc>
        <w:tc>
          <w:tcPr>
            <w:tcW w:type="dxa" w:w="982"/>
          </w:tcPr>
          <w:p>
            <w:pPr>
              <w:spacing w:after="0"/>
              <w:jc w:val="center"/>
            </w:pPr>
            <w:r>
              <w:rPr>
                <w:rFonts w:ascii="Calibri" w:hAnsi="Calibri"/>
                <w:color w:val="111827"/>
                <w:sz w:val="18"/>
              </w:rPr>
              <w:t>0.46088008</w:t>
            </w:r>
          </w:p>
        </w:tc>
        <w:tc>
          <w:tcPr>
            <w:tcW w:type="dxa" w:w="982"/>
          </w:tcPr>
          <w:p>
            <w:pPr>
              <w:spacing w:after="0"/>
              <w:jc w:val="center"/>
            </w:pPr>
            <w:r>
              <w:rPr>
                <w:rFonts w:ascii="Calibri" w:hAnsi="Calibri"/>
                <w:color w:val="111827"/>
                <w:sz w:val="18"/>
              </w:rPr>
              <w:t>-0.10581577</w:t>
            </w:r>
          </w:p>
        </w:tc>
        <w:tc>
          <w:tcPr>
            <w:tcW w:type="dxa" w:w="986"/>
          </w:tcPr>
          <w:p>
            <w:pPr>
              <w:spacing w:after="0"/>
              <w:jc w:val="left"/>
            </w:pPr>
            <w:r>
              <w:rPr>
                <w:rFonts w:ascii="Calibri" w:hAnsi="Calibri"/>
                <w:color w:val="111827"/>
                <w:sz w:val="18"/>
              </w:rPr>
              <w:t>0.00304953</w:t>
            </w:r>
          </w:p>
        </w:tc>
      </w:tr>
      <w:tr>
        <w:tc>
          <w:tcPr>
            <w:tcW w:type="dxa" w:w="1500"/>
          </w:tcPr>
          <w:p>
            <w:pPr>
              <w:spacing w:after="0"/>
              <w:jc w:val="center"/>
            </w:pPr>
            <w:r>
              <w:rPr>
                <w:rFonts w:ascii="Calibri" w:hAnsi="Calibri"/>
                <w:color w:val="111827"/>
                <w:sz w:val="18"/>
              </w:rPr>
              <w:t>Input N2</w:t>
            </w:r>
          </w:p>
        </w:tc>
        <w:tc>
          <w:tcPr>
            <w:tcW w:type="dxa" w:w="982"/>
          </w:tcPr>
          <w:p>
            <w:pPr>
              <w:spacing w:after="0"/>
              <w:jc w:val="center"/>
            </w:pPr>
            <w:r>
              <w:rPr>
                <w:rFonts w:ascii="Calibri" w:hAnsi="Calibri"/>
                <w:color w:val="111827"/>
                <w:sz w:val="18"/>
              </w:rPr>
              <w:t>-0.61847442</w:t>
            </w:r>
          </w:p>
        </w:tc>
        <w:tc>
          <w:tcPr>
            <w:tcW w:type="dxa" w:w="982"/>
          </w:tcPr>
          <w:p>
            <w:pPr>
              <w:spacing w:after="0"/>
              <w:jc w:val="center"/>
            </w:pPr>
            <w:r>
              <w:rPr>
                <w:rFonts w:ascii="Calibri" w:hAnsi="Calibri"/>
                <w:color w:val="111827"/>
                <w:sz w:val="18"/>
              </w:rPr>
              <w:t>-0.18924206</w:t>
            </w:r>
          </w:p>
        </w:tc>
        <w:tc>
          <w:tcPr>
            <w:tcW w:type="dxa" w:w="982"/>
          </w:tcPr>
          <w:p>
            <w:pPr>
              <w:spacing w:after="0"/>
              <w:jc w:val="center"/>
            </w:pPr>
            <w:r>
              <w:rPr>
                <w:rFonts w:ascii="Calibri" w:hAnsi="Calibri"/>
                <w:color w:val="111827"/>
                <w:sz w:val="18"/>
              </w:rPr>
              <w:t>-0.10408139</w:t>
            </w:r>
          </w:p>
        </w:tc>
        <w:tc>
          <w:tcPr>
            <w:tcW w:type="dxa" w:w="982"/>
          </w:tcPr>
          <w:p>
            <w:pPr>
              <w:spacing w:after="0"/>
              <w:jc w:val="center"/>
            </w:pPr>
            <w:r>
              <w:rPr>
                <w:rFonts w:ascii="Calibri" w:hAnsi="Calibri"/>
                <w:color w:val="111827"/>
                <w:sz w:val="18"/>
              </w:rPr>
              <w:t>-0.05462232</w:t>
            </w:r>
          </w:p>
        </w:tc>
        <w:tc>
          <w:tcPr>
            <w:tcW w:type="dxa" w:w="982"/>
          </w:tcPr>
          <w:p>
            <w:pPr>
              <w:spacing w:after="0"/>
              <w:jc w:val="center"/>
            </w:pPr>
            <w:r>
              <w:rPr>
                <w:rFonts w:ascii="Calibri" w:hAnsi="Calibri"/>
                <w:color w:val="111827"/>
                <w:sz w:val="18"/>
              </w:rPr>
              <w:t>-0.00922460</w:t>
            </w:r>
          </w:p>
        </w:tc>
        <w:tc>
          <w:tcPr>
            <w:tcW w:type="dxa" w:w="982"/>
          </w:tcPr>
          <w:p>
            <w:pPr>
              <w:spacing w:after="0"/>
              <w:jc w:val="center"/>
            </w:pPr>
            <w:r>
              <w:rPr>
                <w:rFonts w:ascii="Calibri" w:hAnsi="Calibri"/>
                <w:color w:val="111827"/>
                <w:sz w:val="18"/>
              </w:rPr>
              <w:t>0.09579294</w:t>
            </w:r>
          </w:p>
        </w:tc>
        <w:tc>
          <w:tcPr>
            <w:tcW w:type="dxa" w:w="982"/>
          </w:tcPr>
          <w:p>
            <w:pPr>
              <w:spacing w:after="0"/>
              <w:jc w:val="center"/>
            </w:pPr>
            <w:r>
              <w:rPr>
                <w:rFonts w:ascii="Calibri" w:hAnsi="Calibri"/>
                <w:color w:val="111827"/>
                <w:sz w:val="18"/>
              </w:rPr>
              <w:t>0.06204165</w:t>
            </w:r>
          </w:p>
        </w:tc>
        <w:tc>
          <w:tcPr>
            <w:tcW w:type="dxa" w:w="986"/>
          </w:tcPr>
          <w:p>
            <w:pPr>
              <w:spacing w:after="0"/>
              <w:jc w:val="left"/>
            </w:pPr>
            <w:r>
              <w:rPr>
                <w:rFonts w:ascii="Calibri" w:hAnsi="Calibri"/>
                <w:color w:val="111827"/>
                <w:sz w:val="18"/>
              </w:rPr>
              <w:t>0.70625998</w:t>
            </w:r>
          </w:p>
        </w:tc>
      </w:tr>
      <w:tr>
        <w:tc>
          <w:tcPr>
            <w:tcW w:type="dxa" w:w="1500"/>
          </w:tcPr>
          <w:p>
            <w:pPr>
              <w:spacing w:after="0"/>
              <w:jc w:val="center"/>
            </w:pPr>
            <w:r>
              <w:rPr>
                <w:rFonts w:ascii="Calibri" w:hAnsi="Calibri"/>
                <w:color w:val="111827"/>
                <w:sz w:val="18"/>
              </w:rPr>
              <w:t>Input N3</w:t>
            </w:r>
          </w:p>
        </w:tc>
        <w:tc>
          <w:tcPr>
            <w:tcW w:type="dxa" w:w="982"/>
          </w:tcPr>
          <w:p>
            <w:pPr>
              <w:spacing w:after="0"/>
              <w:jc w:val="center"/>
            </w:pPr>
            <w:r>
              <w:rPr>
                <w:rFonts w:ascii="Calibri" w:hAnsi="Calibri"/>
                <w:color w:val="111827"/>
                <w:sz w:val="18"/>
              </w:rPr>
              <w:t>-0.20622650</w:t>
            </w:r>
          </w:p>
        </w:tc>
        <w:tc>
          <w:tcPr>
            <w:tcW w:type="dxa" w:w="982"/>
          </w:tcPr>
          <w:p>
            <w:pPr>
              <w:spacing w:after="0"/>
              <w:jc w:val="center"/>
            </w:pPr>
            <w:r>
              <w:rPr>
                <w:rFonts w:ascii="Calibri" w:hAnsi="Calibri"/>
                <w:color w:val="111827"/>
                <w:sz w:val="18"/>
              </w:rPr>
              <w:t>1.68241021</w:t>
            </w:r>
          </w:p>
        </w:tc>
        <w:tc>
          <w:tcPr>
            <w:tcW w:type="dxa" w:w="982"/>
          </w:tcPr>
          <w:p>
            <w:pPr>
              <w:spacing w:after="0"/>
              <w:jc w:val="center"/>
            </w:pPr>
            <w:r>
              <w:rPr>
                <w:rFonts w:ascii="Calibri" w:hAnsi="Calibri"/>
                <w:color w:val="111827"/>
                <w:sz w:val="18"/>
              </w:rPr>
              <w:t>0.47480453</w:t>
            </w:r>
          </w:p>
        </w:tc>
        <w:tc>
          <w:tcPr>
            <w:tcW w:type="dxa" w:w="982"/>
          </w:tcPr>
          <w:p>
            <w:pPr>
              <w:spacing w:after="0"/>
              <w:jc w:val="center"/>
            </w:pPr>
            <w:r>
              <w:rPr>
                <w:rFonts w:ascii="Calibri" w:hAnsi="Calibri"/>
                <w:color w:val="111827"/>
                <w:sz w:val="18"/>
              </w:rPr>
              <w:t>0.21606125</w:t>
            </w:r>
          </w:p>
        </w:tc>
        <w:tc>
          <w:tcPr>
            <w:tcW w:type="dxa" w:w="982"/>
          </w:tcPr>
          <w:p>
            <w:pPr>
              <w:spacing w:after="0"/>
              <w:jc w:val="center"/>
            </w:pPr>
            <w:r>
              <w:rPr>
                <w:rFonts w:ascii="Calibri" w:hAnsi="Calibri"/>
                <w:color w:val="111827"/>
                <w:sz w:val="18"/>
              </w:rPr>
              <w:t>-0.00775690</w:t>
            </w:r>
          </w:p>
        </w:tc>
        <w:tc>
          <w:tcPr>
            <w:tcW w:type="dxa" w:w="982"/>
          </w:tcPr>
          <w:p>
            <w:pPr>
              <w:spacing w:after="0"/>
              <w:jc w:val="center"/>
            </w:pPr>
            <w:r>
              <w:rPr>
                <w:rFonts w:ascii="Calibri" w:hAnsi="Calibri"/>
                <w:color w:val="111827"/>
                <w:sz w:val="18"/>
              </w:rPr>
              <w:t>0.25010940</w:t>
            </w:r>
          </w:p>
        </w:tc>
        <w:tc>
          <w:tcPr>
            <w:tcW w:type="dxa" w:w="982"/>
          </w:tcPr>
          <w:p>
            <w:pPr>
              <w:spacing w:after="0"/>
              <w:jc w:val="center"/>
            </w:pPr>
            <w:r>
              <w:rPr>
                <w:rFonts w:ascii="Calibri" w:hAnsi="Calibri"/>
                <w:color w:val="111827"/>
                <w:sz w:val="18"/>
              </w:rPr>
              <w:t>1.40753207</w:t>
            </w:r>
          </w:p>
        </w:tc>
        <w:tc>
          <w:tcPr>
            <w:tcW w:type="dxa" w:w="986"/>
          </w:tcPr>
          <w:p>
            <w:pPr>
              <w:spacing w:after="0"/>
              <w:jc w:val="left"/>
            </w:pPr>
            <w:r>
              <w:rPr>
                <w:rFonts w:ascii="Calibri" w:hAnsi="Calibri"/>
                <w:color w:val="111827"/>
                <w:sz w:val="18"/>
              </w:rPr>
              <w:t>-0.36591954</w:t>
            </w:r>
          </w:p>
        </w:tc>
      </w:tr>
      <w:tr>
        <w:tc>
          <w:tcPr>
            <w:tcW w:type="dxa" w:w="1500"/>
          </w:tcPr>
          <w:p>
            <w:pPr>
              <w:spacing w:after="0"/>
              <w:jc w:val="center"/>
            </w:pPr>
            <w:r>
              <w:rPr>
                <w:rFonts w:ascii="Calibri" w:hAnsi="Calibri"/>
                <w:color w:val="111827"/>
                <w:sz w:val="18"/>
              </w:rPr>
              <w:t>Input N4</w:t>
            </w:r>
          </w:p>
        </w:tc>
        <w:tc>
          <w:tcPr>
            <w:tcW w:type="dxa" w:w="982"/>
          </w:tcPr>
          <w:p>
            <w:pPr>
              <w:spacing w:after="0"/>
              <w:jc w:val="center"/>
            </w:pPr>
            <w:r>
              <w:rPr>
                <w:rFonts w:ascii="Calibri" w:hAnsi="Calibri"/>
                <w:color w:val="111827"/>
                <w:sz w:val="18"/>
              </w:rPr>
              <w:t>-0.72368866</w:t>
            </w:r>
          </w:p>
        </w:tc>
        <w:tc>
          <w:tcPr>
            <w:tcW w:type="dxa" w:w="982"/>
          </w:tcPr>
          <w:p>
            <w:pPr>
              <w:spacing w:after="0"/>
              <w:jc w:val="center"/>
            </w:pPr>
            <w:r>
              <w:rPr>
                <w:rFonts w:ascii="Calibri" w:hAnsi="Calibri"/>
                <w:color w:val="111827"/>
                <w:sz w:val="18"/>
              </w:rPr>
              <w:t>-3.89640981</w:t>
            </w:r>
          </w:p>
        </w:tc>
        <w:tc>
          <w:tcPr>
            <w:tcW w:type="dxa" w:w="982"/>
          </w:tcPr>
          <w:p>
            <w:pPr>
              <w:spacing w:after="0"/>
              <w:jc w:val="center"/>
            </w:pPr>
            <w:r>
              <w:rPr>
                <w:rFonts w:ascii="Calibri" w:hAnsi="Calibri"/>
                <w:color w:val="111827"/>
                <w:sz w:val="18"/>
              </w:rPr>
              <w:t>0.29230347</w:t>
            </w:r>
          </w:p>
        </w:tc>
        <w:tc>
          <w:tcPr>
            <w:tcW w:type="dxa" w:w="982"/>
          </w:tcPr>
          <w:p>
            <w:pPr>
              <w:spacing w:after="0"/>
              <w:jc w:val="center"/>
            </w:pPr>
            <w:r>
              <w:rPr>
                <w:rFonts w:ascii="Calibri" w:hAnsi="Calibri"/>
                <w:color w:val="111827"/>
                <w:sz w:val="18"/>
              </w:rPr>
              <w:t>-3.60026960</w:t>
            </w:r>
          </w:p>
        </w:tc>
        <w:tc>
          <w:tcPr>
            <w:tcW w:type="dxa" w:w="982"/>
          </w:tcPr>
          <w:p>
            <w:pPr>
              <w:spacing w:after="0"/>
              <w:jc w:val="center"/>
            </w:pPr>
            <w:r>
              <w:rPr>
                <w:rFonts w:ascii="Calibri" w:hAnsi="Calibri"/>
                <w:color w:val="111827"/>
                <w:sz w:val="18"/>
              </w:rPr>
              <w:t>0.66151664</w:t>
            </w:r>
          </w:p>
        </w:tc>
        <w:tc>
          <w:tcPr>
            <w:tcW w:type="dxa" w:w="982"/>
          </w:tcPr>
          <w:p>
            <w:pPr>
              <w:spacing w:after="0"/>
              <w:jc w:val="center"/>
            </w:pPr>
            <w:r>
              <w:rPr>
                <w:rFonts w:ascii="Calibri" w:hAnsi="Calibri"/>
                <w:color w:val="111827"/>
                <w:sz w:val="18"/>
              </w:rPr>
              <w:t>-0.87387276</w:t>
            </w:r>
          </w:p>
        </w:tc>
        <w:tc>
          <w:tcPr>
            <w:tcW w:type="dxa" w:w="982"/>
          </w:tcPr>
          <w:p>
            <w:pPr>
              <w:spacing w:after="0"/>
              <w:jc w:val="center"/>
            </w:pPr>
            <w:r>
              <w:rPr>
                <w:rFonts w:ascii="Calibri" w:hAnsi="Calibri"/>
                <w:color w:val="111827"/>
                <w:sz w:val="18"/>
              </w:rPr>
              <w:t>1.09655055</w:t>
            </w:r>
          </w:p>
        </w:tc>
        <w:tc>
          <w:tcPr>
            <w:tcW w:type="dxa" w:w="986"/>
          </w:tcPr>
          <w:p>
            <w:pPr>
              <w:spacing w:after="0"/>
              <w:jc w:val="left"/>
            </w:pPr>
            <w:r>
              <w:rPr>
                <w:rFonts w:ascii="Calibri" w:hAnsi="Calibri"/>
                <w:color w:val="111827"/>
                <w:sz w:val="18"/>
              </w:rPr>
              <w:t>2.61318580</w:t>
            </w:r>
          </w:p>
        </w:tc>
      </w:tr>
      <w:tr>
        <w:tc>
          <w:tcPr>
            <w:tcW w:type="dxa" w:w="1500"/>
          </w:tcPr>
          <w:p>
            <w:pPr>
              <w:spacing w:after="0"/>
              <w:jc w:val="center"/>
            </w:pPr>
            <w:r>
              <w:rPr>
                <w:rFonts w:ascii="Calibri" w:hAnsi="Calibri"/>
                <w:color w:val="111827"/>
                <w:sz w:val="18"/>
              </w:rPr>
              <w:t>Bias</w:t>
            </w:r>
          </w:p>
        </w:tc>
        <w:tc>
          <w:tcPr>
            <w:tcW w:type="dxa" w:w="982"/>
          </w:tcPr>
          <w:p>
            <w:pPr>
              <w:spacing w:after="0"/>
              <w:jc w:val="center"/>
            </w:pPr>
            <w:r>
              <w:rPr>
                <w:rFonts w:ascii="Calibri" w:hAnsi="Calibri"/>
                <w:color w:val="111827"/>
                <w:sz w:val="18"/>
              </w:rPr>
              <w:t>0.00893461</w:t>
            </w:r>
          </w:p>
        </w:tc>
        <w:tc>
          <w:tcPr>
            <w:tcW w:type="dxa" w:w="982"/>
          </w:tcPr>
          <w:p>
            <w:pPr>
              <w:spacing w:after="0"/>
              <w:jc w:val="center"/>
            </w:pPr>
            <w:r>
              <w:rPr>
                <w:rFonts w:ascii="Calibri" w:hAnsi="Calibri"/>
                <w:color w:val="111827"/>
                <w:sz w:val="18"/>
              </w:rPr>
              <w:t>1.06319457</w:t>
            </w:r>
          </w:p>
        </w:tc>
        <w:tc>
          <w:tcPr>
            <w:tcW w:type="dxa" w:w="982"/>
          </w:tcPr>
          <w:p>
            <w:pPr>
              <w:spacing w:after="0"/>
              <w:jc w:val="center"/>
            </w:pPr>
            <w:r>
              <w:rPr>
                <w:rFonts w:ascii="Calibri" w:hAnsi="Calibri"/>
                <w:color w:val="111827"/>
                <w:sz w:val="18"/>
              </w:rPr>
              <w:t>0.30399444</w:t>
            </w:r>
          </w:p>
        </w:tc>
        <w:tc>
          <w:tcPr>
            <w:tcW w:type="dxa" w:w="982"/>
          </w:tcPr>
          <w:p>
            <w:pPr>
              <w:spacing w:after="0"/>
              <w:jc w:val="center"/>
            </w:pPr>
            <w:r>
              <w:rPr>
                <w:rFonts w:ascii="Calibri" w:hAnsi="Calibri"/>
                <w:color w:val="111827"/>
                <w:sz w:val="18"/>
              </w:rPr>
              <w:t>0.74088522</w:t>
            </w:r>
          </w:p>
        </w:tc>
        <w:tc>
          <w:tcPr>
            <w:tcW w:type="dxa" w:w="982"/>
          </w:tcPr>
          <w:p>
            <w:pPr>
              <w:spacing w:after="0"/>
              <w:jc w:val="center"/>
            </w:pPr>
            <w:r>
              <w:rPr>
                <w:rFonts w:ascii="Calibri" w:hAnsi="Calibri"/>
                <w:color w:val="111827"/>
                <w:sz w:val="18"/>
              </w:rPr>
              <w:t>0.01553316</w:t>
            </w:r>
          </w:p>
        </w:tc>
        <w:tc>
          <w:tcPr>
            <w:tcW w:type="dxa" w:w="982"/>
          </w:tcPr>
          <w:p>
            <w:pPr>
              <w:spacing w:after="0"/>
              <w:jc w:val="center"/>
            </w:pPr>
            <w:r>
              <w:rPr>
                <w:rFonts w:ascii="Calibri" w:hAnsi="Calibri"/>
                <w:color w:val="111827"/>
                <w:sz w:val="18"/>
              </w:rPr>
              <w:t>-0.00965265</w:t>
            </w:r>
          </w:p>
        </w:tc>
        <w:tc>
          <w:tcPr>
            <w:tcW w:type="dxa" w:w="982"/>
          </w:tcPr>
          <w:p>
            <w:pPr>
              <w:spacing w:after="0"/>
              <w:jc w:val="center"/>
            </w:pPr>
            <w:r>
              <w:rPr>
                <w:rFonts w:ascii="Calibri" w:hAnsi="Calibri"/>
                <w:color w:val="111827"/>
                <w:sz w:val="18"/>
              </w:rPr>
              <w:t>-0.24272274</w:t>
            </w:r>
          </w:p>
        </w:tc>
        <w:tc>
          <w:tcPr>
            <w:tcW w:type="dxa" w:w="986"/>
          </w:tcPr>
          <w:p>
            <w:pPr>
              <w:spacing w:after="0"/>
              <w:jc w:val="left"/>
            </w:pPr>
            <w:r>
              <w:rPr>
                <w:rFonts w:ascii="Calibri" w:hAnsi="Calibri"/>
                <w:color w:val="111827"/>
                <w:sz w:val="18"/>
              </w:rPr>
              <w:t>1.22800916</w:t>
            </w:r>
          </w:p>
        </w:tc>
      </w:tr>
    </w:tbl>
    <w:p>
      <w:pPr>
        <w:spacing w:after="40"/>
      </w:pPr>
    </w:p>
    <w:p>
      <w:pPr>
        <w:pStyle w:val="Heading3"/>
        <w:keepNext/>
      </w:pPr>
      <w:r>
        <w:t>Layer 2</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80" w:type="dxa"/>
              <w:start w:w="120" w:type="dxa"/>
              <w:bottom w:w="80" w:type="dxa"/>
              <w:end w:w="120" w:type="dxa"/>
            </w:tcMar>
            <w:vAlign w:val="center"/>
            <w:shd w:fill="F4F6F9"/>
          </w:tcPr>
          <w:p>
            <w:pPr>
              <w:spacing w:after="0"/>
              <w:jc w:val="center"/>
            </w:pPr>
            <w:r>
              <w:rPr>
                <w:rFonts w:ascii="Calibri" w:hAnsi="Calibri"/>
                <w:b/>
                <w:color w:val="1F4D78"/>
                <w:sz w:val="18"/>
              </w:rPr>
              <w:t>From / bias</w:t>
            </w:r>
          </w:p>
        </w:tc>
        <w:tc>
          <w:tcPr>
            <w:tcW w:type="dxa" w:w="7860"/>
            <w:tcMar>
              <w:top w:w="80" w:type="dxa"/>
              <w:start w:w="120" w:type="dxa"/>
              <w:bottom w:w="80" w:type="dxa"/>
              <w:end w:w="120" w:type="dxa"/>
            </w:tcMar>
            <w:vAlign w:val="center"/>
            <w:shd w:fill="F4F6F9"/>
          </w:tcPr>
          <w:p>
            <w:pPr>
              <w:spacing w:after="0"/>
              <w:jc w:val="center"/>
            </w:pPr>
            <w:r>
              <w:rPr>
                <w:rFonts w:ascii="Calibri" w:hAnsi="Calibri"/>
                <w:b/>
                <w:color w:val="1F4D78"/>
                <w:sz w:val="18"/>
              </w:rPr>
              <w:t>N1</w:t>
            </w:r>
          </w:p>
        </w:tc>
      </w:tr>
      <w:tr>
        <w:tc>
          <w:tcPr>
            <w:tcW w:type="dxa" w:w="1500"/>
          </w:tcPr>
          <w:p>
            <w:pPr>
              <w:spacing w:after="0"/>
              <w:jc w:val="center"/>
            </w:pPr>
            <w:r>
              <w:rPr>
                <w:rFonts w:ascii="Calibri" w:hAnsi="Calibri"/>
                <w:color w:val="111827"/>
                <w:sz w:val="18"/>
              </w:rPr>
              <w:t>Input N1</w:t>
            </w:r>
          </w:p>
        </w:tc>
        <w:tc>
          <w:tcPr>
            <w:tcW w:type="dxa" w:w="7860"/>
          </w:tcPr>
          <w:p>
            <w:pPr>
              <w:spacing w:after="0"/>
              <w:jc w:val="left"/>
            </w:pPr>
            <w:r>
              <w:rPr>
                <w:rFonts w:ascii="Calibri" w:hAnsi="Calibri"/>
                <w:color w:val="111827"/>
                <w:sz w:val="18"/>
              </w:rPr>
              <w:t>-0.51296449</w:t>
            </w:r>
          </w:p>
        </w:tc>
      </w:tr>
      <w:tr>
        <w:tc>
          <w:tcPr>
            <w:tcW w:type="dxa" w:w="1500"/>
          </w:tcPr>
          <w:p>
            <w:pPr>
              <w:spacing w:after="0"/>
              <w:jc w:val="center"/>
            </w:pPr>
            <w:r>
              <w:rPr>
                <w:rFonts w:ascii="Calibri" w:hAnsi="Calibri"/>
                <w:color w:val="111827"/>
                <w:sz w:val="18"/>
              </w:rPr>
              <w:t>Input N2</w:t>
            </w:r>
          </w:p>
        </w:tc>
        <w:tc>
          <w:tcPr>
            <w:tcW w:type="dxa" w:w="7860"/>
          </w:tcPr>
          <w:p>
            <w:pPr>
              <w:spacing w:after="0"/>
              <w:jc w:val="left"/>
            </w:pPr>
            <w:r>
              <w:rPr>
                <w:rFonts w:ascii="Calibri" w:hAnsi="Calibri"/>
                <w:color w:val="111827"/>
                <w:sz w:val="18"/>
              </w:rPr>
              <w:t>0.53479500</w:t>
            </w:r>
          </w:p>
        </w:tc>
      </w:tr>
      <w:tr>
        <w:tc>
          <w:tcPr>
            <w:tcW w:type="dxa" w:w="1500"/>
          </w:tcPr>
          <w:p>
            <w:pPr>
              <w:spacing w:after="0"/>
              <w:jc w:val="center"/>
            </w:pPr>
            <w:r>
              <w:rPr>
                <w:rFonts w:ascii="Calibri" w:hAnsi="Calibri"/>
                <w:color w:val="111827"/>
                <w:sz w:val="18"/>
              </w:rPr>
              <w:t>Input N3</w:t>
            </w:r>
          </w:p>
        </w:tc>
        <w:tc>
          <w:tcPr>
            <w:tcW w:type="dxa" w:w="7860"/>
          </w:tcPr>
          <w:p>
            <w:pPr>
              <w:spacing w:after="0"/>
              <w:jc w:val="left"/>
            </w:pPr>
            <w:r>
              <w:rPr>
                <w:rFonts w:ascii="Calibri" w:hAnsi="Calibri"/>
                <w:color w:val="111827"/>
                <w:sz w:val="18"/>
              </w:rPr>
              <w:t>0.38438072</w:t>
            </w:r>
          </w:p>
        </w:tc>
      </w:tr>
      <w:tr>
        <w:tc>
          <w:tcPr>
            <w:tcW w:type="dxa" w:w="1500"/>
          </w:tcPr>
          <w:p>
            <w:pPr>
              <w:spacing w:after="0"/>
              <w:jc w:val="center"/>
            </w:pPr>
            <w:r>
              <w:rPr>
                <w:rFonts w:ascii="Calibri" w:hAnsi="Calibri"/>
                <w:color w:val="111827"/>
                <w:sz w:val="18"/>
              </w:rPr>
              <w:t>Input N4</w:t>
            </w:r>
          </w:p>
        </w:tc>
        <w:tc>
          <w:tcPr>
            <w:tcW w:type="dxa" w:w="7860"/>
          </w:tcPr>
          <w:p>
            <w:pPr>
              <w:spacing w:after="0"/>
              <w:jc w:val="left"/>
            </w:pPr>
            <w:r>
              <w:rPr>
                <w:rFonts w:ascii="Calibri" w:hAnsi="Calibri"/>
                <w:color w:val="111827"/>
                <w:sz w:val="18"/>
              </w:rPr>
              <w:t>0.40613434</w:t>
            </w:r>
          </w:p>
        </w:tc>
      </w:tr>
      <w:tr>
        <w:tc>
          <w:tcPr>
            <w:tcW w:type="dxa" w:w="1500"/>
          </w:tcPr>
          <w:p>
            <w:pPr>
              <w:spacing w:after="0"/>
              <w:jc w:val="center"/>
            </w:pPr>
            <w:r>
              <w:rPr>
                <w:rFonts w:ascii="Calibri" w:hAnsi="Calibri"/>
                <w:color w:val="111827"/>
                <w:sz w:val="18"/>
              </w:rPr>
              <w:t>Input N5</w:t>
            </w:r>
          </w:p>
        </w:tc>
        <w:tc>
          <w:tcPr>
            <w:tcW w:type="dxa" w:w="7860"/>
          </w:tcPr>
          <w:p>
            <w:pPr>
              <w:spacing w:after="0"/>
              <w:jc w:val="left"/>
            </w:pPr>
            <w:r>
              <w:rPr>
                <w:rFonts w:ascii="Calibri" w:hAnsi="Calibri"/>
                <w:color w:val="111827"/>
                <w:sz w:val="18"/>
              </w:rPr>
              <w:t>0.54463685</w:t>
            </w:r>
          </w:p>
        </w:tc>
      </w:tr>
      <w:tr>
        <w:tc>
          <w:tcPr>
            <w:tcW w:type="dxa" w:w="1500"/>
          </w:tcPr>
          <w:p>
            <w:pPr>
              <w:spacing w:after="0"/>
              <w:jc w:val="center"/>
            </w:pPr>
            <w:r>
              <w:rPr>
                <w:rFonts w:ascii="Calibri" w:hAnsi="Calibri"/>
                <w:color w:val="111827"/>
                <w:sz w:val="18"/>
              </w:rPr>
              <w:t>Input N6</w:t>
            </w:r>
          </w:p>
        </w:tc>
        <w:tc>
          <w:tcPr>
            <w:tcW w:type="dxa" w:w="7860"/>
          </w:tcPr>
          <w:p>
            <w:pPr>
              <w:spacing w:after="0"/>
              <w:jc w:val="left"/>
            </w:pPr>
            <w:r>
              <w:rPr>
                <w:rFonts w:ascii="Calibri" w:hAnsi="Calibri"/>
                <w:color w:val="111827"/>
                <w:sz w:val="18"/>
              </w:rPr>
              <w:t>-1.10627148</w:t>
            </w:r>
          </w:p>
        </w:tc>
      </w:tr>
      <w:tr>
        <w:tc>
          <w:tcPr>
            <w:tcW w:type="dxa" w:w="1500"/>
          </w:tcPr>
          <w:p>
            <w:pPr>
              <w:spacing w:after="0"/>
              <w:jc w:val="center"/>
            </w:pPr>
            <w:r>
              <w:rPr>
                <w:rFonts w:ascii="Calibri" w:hAnsi="Calibri"/>
                <w:color w:val="111827"/>
                <w:sz w:val="18"/>
              </w:rPr>
              <w:t>Input N7</w:t>
            </w:r>
          </w:p>
        </w:tc>
        <w:tc>
          <w:tcPr>
            <w:tcW w:type="dxa" w:w="7860"/>
          </w:tcPr>
          <w:p>
            <w:pPr>
              <w:spacing w:after="0"/>
              <w:jc w:val="left"/>
            </w:pPr>
            <w:r>
              <w:rPr>
                <w:rFonts w:ascii="Calibri" w:hAnsi="Calibri"/>
                <w:color w:val="111827"/>
                <w:sz w:val="18"/>
              </w:rPr>
              <w:t>-0.28277326</w:t>
            </w:r>
          </w:p>
        </w:tc>
      </w:tr>
      <w:tr>
        <w:tc>
          <w:tcPr>
            <w:tcW w:type="dxa" w:w="1500"/>
          </w:tcPr>
          <w:p>
            <w:pPr>
              <w:spacing w:after="0"/>
              <w:jc w:val="center"/>
            </w:pPr>
            <w:r>
              <w:rPr>
                <w:rFonts w:ascii="Calibri" w:hAnsi="Calibri"/>
                <w:color w:val="111827"/>
                <w:sz w:val="18"/>
              </w:rPr>
              <w:t>Input N8</w:t>
            </w:r>
          </w:p>
        </w:tc>
        <w:tc>
          <w:tcPr>
            <w:tcW w:type="dxa" w:w="7860"/>
          </w:tcPr>
          <w:p>
            <w:pPr>
              <w:spacing w:after="0"/>
              <w:jc w:val="left"/>
            </w:pPr>
            <w:r>
              <w:rPr>
                <w:rFonts w:ascii="Calibri" w:hAnsi="Calibri"/>
                <w:color w:val="111827"/>
                <w:sz w:val="18"/>
              </w:rPr>
              <w:t>-0.56608738</w:t>
            </w:r>
          </w:p>
        </w:tc>
      </w:tr>
      <w:tr>
        <w:tc>
          <w:tcPr>
            <w:tcW w:type="dxa" w:w="1500"/>
          </w:tcPr>
          <w:p>
            <w:pPr>
              <w:spacing w:after="0"/>
              <w:jc w:val="center"/>
            </w:pPr>
            <w:r>
              <w:rPr>
                <w:rFonts w:ascii="Calibri" w:hAnsi="Calibri"/>
                <w:color w:val="111827"/>
                <w:sz w:val="18"/>
              </w:rPr>
              <w:t>Bias</w:t>
            </w:r>
          </w:p>
        </w:tc>
        <w:tc>
          <w:tcPr>
            <w:tcW w:type="dxa" w:w="7860"/>
          </w:tcPr>
          <w:p>
            <w:pPr>
              <w:spacing w:after="0"/>
              <w:jc w:val="left"/>
            </w:pPr>
            <w:r>
              <w:rPr>
                <w:rFonts w:ascii="Calibri" w:hAnsi="Calibri"/>
                <w:color w:val="111827"/>
                <w:sz w:val="18"/>
              </w:rPr>
              <w:t>0.25115384</w:t>
            </w:r>
          </w:p>
        </w:tc>
      </w:tr>
    </w:tbl>
    <w:p>
      <w:pPr>
        <w:spacing w:after="40"/>
      </w:pPr>
    </w:p>
    <w:p>
      <w:pPr>
        <w:pStyle w:val="Heading2"/>
        <w:keepNext/>
      </w:pPr>
      <w:r>
        <w:t>DNN (4-10-6-1)</w:t>
      </w:r>
    </w:p>
    <w:p>
      <w:pPr>
        <w:pStyle w:val="Heading3"/>
        <w:keepNext/>
      </w:pPr>
      <w:r>
        <w:t>Layer 1</w:t>
      </w:r>
    </w:p>
    <w:tbl>
      <w:tblPr>
        <w:tblStyle w:val="TableGrid"/>
        <w:tblW w:type="dxa" w:w="9360"/>
        <w:jc w:val="left"/>
        <w:tblLayout w:type="fixed"/>
        <w:tblLook w:firstColumn="1" w:firstRow="1" w:lastColumn="0" w:lastRow="0" w:noHBand="0" w:noVBand="1" w:val="04A0"/>
        <w:tblInd w:w="120" w:type="dxa"/>
      </w:tblPr>
      <w:tblGrid>
        <w:gridCol w:w="1500"/>
        <w:gridCol w:w="786"/>
        <w:gridCol w:w="786"/>
        <w:gridCol w:w="786"/>
        <w:gridCol w:w="786"/>
        <w:gridCol w:w="786"/>
        <w:gridCol w:w="786"/>
        <w:gridCol w:w="786"/>
        <w:gridCol w:w="786"/>
        <w:gridCol w:w="786"/>
        <w:gridCol w:w="786"/>
      </w:tblGrid>
      <w:tr>
        <w:trPr>
          <w:tblHeader w:val="true"/>
        </w:trPr>
        <w:tc>
          <w:tcPr>
            <w:tcW w:type="dxa" w:w="1500"/>
            <w:tcMar>
              <w:top w:w="80" w:type="dxa"/>
              <w:start w:w="120" w:type="dxa"/>
              <w:bottom w:w="80" w:type="dxa"/>
              <w:end w:w="120" w:type="dxa"/>
            </w:tcMar>
            <w:vAlign w:val="center"/>
            <w:shd w:fill="F4F6F9"/>
          </w:tcPr>
          <w:p>
            <w:pPr>
              <w:spacing w:after="0"/>
              <w:jc w:val="center"/>
            </w:pPr>
            <w:r>
              <w:rPr>
                <w:rFonts w:ascii="Calibri" w:hAnsi="Calibri"/>
                <w:b/>
                <w:color w:val="1F4D78"/>
                <w:sz w:val="18"/>
              </w:rPr>
              <w:t>From / bias</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N1</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N2</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N3</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N4</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N5</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N6</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N7</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N8</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N9</w:t>
            </w:r>
          </w:p>
        </w:tc>
        <w:tc>
          <w:tcPr>
            <w:tcW w:type="dxa" w:w="786"/>
            <w:tcMar>
              <w:top w:w="80" w:type="dxa"/>
              <w:start w:w="120" w:type="dxa"/>
              <w:bottom w:w="80" w:type="dxa"/>
              <w:end w:w="120" w:type="dxa"/>
            </w:tcMar>
            <w:vAlign w:val="center"/>
            <w:shd w:fill="F4F6F9"/>
          </w:tcPr>
          <w:p>
            <w:pPr>
              <w:spacing w:after="0"/>
              <w:jc w:val="center"/>
            </w:pPr>
            <w:r>
              <w:rPr>
                <w:rFonts w:ascii="Calibri" w:hAnsi="Calibri"/>
                <w:b/>
                <w:color w:val="1F4D78"/>
                <w:sz w:val="18"/>
              </w:rPr>
              <w:t>N10</w:t>
            </w:r>
          </w:p>
        </w:tc>
      </w:tr>
      <w:tr>
        <w:tc>
          <w:tcPr>
            <w:tcW w:type="dxa" w:w="1500"/>
          </w:tcPr>
          <w:p>
            <w:pPr>
              <w:spacing w:after="0"/>
              <w:jc w:val="center"/>
            </w:pPr>
            <w:r>
              <w:rPr>
                <w:rFonts w:ascii="Calibri" w:hAnsi="Calibri"/>
                <w:color w:val="111827"/>
                <w:sz w:val="18"/>
              </w:rPr>
              <w:t>Input N1</w:t>
            </w:r>
          </w:p>
        </w:tc>
        <w:tc>
          <w:tcPr>
            <w:tcW w:type="dxa" w:w="786"/>
          </w:tcPr>
          <w:p>
            <w:pPr>
              <w:spacing w:after="0"/>
              <w:jc w:val="center"/>
            </w:pPr>
            <w:r>
              <w:rPr>
                <w:rFonts w:ascii="Calibri" w:hAnsi="Calibri"/>
                <w:color w:val="111827"/>
                <w:sz w:val="18"/>
              </w:rPr>
              <w:t>0.32970049</w:t>
            </w:r>
          </w:p>
        </w:tc>
        <w:tc>
          <w:tcPr>
            <w:tcW w:type="dxa" w:w="786"/>
          </w:tcPr>
          <w:p>
            <w:pPr>
              <w:spacing w:after="0"/>
              <w:jc w:val="center"/>
            </w:pPr>
            <w:r>
              <w:rPr>
                <w:rFonts w:ascii="Calibri" w:hAnsi="Calibri"/>
                <w:color w:val="111827"/>
                <w:sz w:val="18"/>
              </w:rPr>
              <w:t>-0.80662362</w:t>
            </w:r>
          </w:p>
        </w:tc>
        <w:tc>
          <w:tcPr>
            <w:tcW w:type="dxa" w:w="786"/>
          </w:tcPr>
          <w:p>
            <w:pPr>
              <w:spacing w:after="0"/>
              <w:jc w:val="center"/>
            </w:pPr>
            <w:r>
              <w:rPr>
                <w:rFonts w:ascii="Calibri" w:hAnsi="Calibri"/>
                <w:color w:val="111827"/>
                <w:sz w:val="18"/>
              </w:rPr>
              <w:t>0.51312619</w:t>
            </w:r>
          </w:p>
        </w:tc>
        <w:tc>
          <w:tcPr>
            <w:tcW w:type="dxa" w:w="786"/>
          </w:tcPr>
          <w:p>
            <w:pPr>
              <w:spacing w:after="0"/>
              <w:jc w:val="center"/>
            </w:pPr>
            <w:r>
              <w:rPr>
                <w:rFonts w:ascii="Calibri" w:hAnsi="Calibri"/>
                <w:color w:val="111827"/>
                <w:sz w:val="18"/>
              </w:rPr>
              <w:t>0.31035763</w:t>
            </w:r>
          </w:p>
        </w:tc>
        <w:tc>
          <w:tcPr>
            <w:tcW w:type="dxa" w:w="786"/>
          </w:tcPr>
          <w:p>
            <w:pPr>
              <w:spacing w:after="0"/>
              <w:jc w:val="center"/>
            </w:pPr>
            <w:r>
              <w:rPr>
                <w:rFonts w:ascii="Calibri" w:hAnsi="Calibri"/>
                <w:color w:val="111827"/>
                <w:sz w:val="18"/>
              </w:rPr>
              <w:t>-0.98018254</w:t>
            </w:r>
          </w:p>
        </w:tc>
        <w:tc>
          <w:tcPr>
            <w:tcW w:type="dxa" w:w="786"/>
          </w:tcPr>
          <w:p>
            <w:pPr>
              <w:spacing w:after="0"/>
              <w:jc w:val="center"/>
            </w:pPr>
            <w:r>
              <w:rPr>
                <w:rFonts w:ascii="Calibri" w:hAnsi="Calibri"/>
                <w:color w:val="111827"/>
                <w:sz w:val="18"/>
              </w:rPr>
              <w:t>0.18958865</w:t>
            </w:r>
          </w:p>
        </w:tc>
        <w:tc>
          <w:tcPr>
            <w:tcW w:type="dxa" w:w="786"/>
          </w:tcPr>
          <w:p>
            <w:pPr>
              <w:spacing w:after="0"/>
              <w:jc w:val="center"/>
            </w:pPr>
            <w:r>
              <w:rPr>
                <w:rFonts w:ascii="Calibri" w:hAnsi="Calibri"/>
                <w:color w:val="111827"/>
                <w:sz w:val="18"/>
              </w:rPr>
              <w:t>-0.00201048</w:t>
            </w:r>
          </w:p>
        </w:tc>
        <w:tc>
          <w:tcPr>
            <w:tcW w:type="dxa" w:w="786"/>
          </w:tcPr>
          <w:p>
            <w:pPr>
              <w:spacing w:after="0"/>
              <w:jc w:val="center"/>
            </w:pPr>
            <w:r>
              <w:rPr>
                <w:rFonts w:ascii="Calibri" w:hAnsi="Calibri"/>
                <w:color w:val="111827"/>
                <w:sz w:val="18"/>
              </w:rPr>
              <w:t>0.84664847</w:t>
            </w:r>
          </w:p>
        </w:tc>
        <w:tc>
          <w:tcPr>
            <w:tcW w:type="dxa" w:w="786"/>
          </w:tcPr>
          <w:p>
            <w:pPr>
              <w:spacing w:after="0"/>
              <w:jc w:val="center"/>
            </w:pPr>
            <w:r>
              <w:rPr>
                <w:rFonts w:ascii="Calibri" w:hAnsi="Calibri"/>
                <w:color w:val="111827"/>
                <w:sz w:val="18"/>
              </w:rPr>
              <w:t>-1.10094598</w:t>
            </w:r>
          </w:p>
        </w:tc>
        <w:tc>
          <w:tcPr>
            <w:tcW w:type="dxa" w:w="786"/>
          </w:tcPr>
          <w:p>
            <w:pPr>
              <w:spacing w:after="0"/>
              <w:jc w:val="left"/>
            </w:pPr>
            <w:r>
              <w:rPr>
                <w:rFonts w:ascii="Calibri" w:hAnsi="Calibri"/>
                <w:color w:val="111827"/>
                <w:sz w:val="18"/>
              </w:rPr>
              <w:t>-0.58557949</w:t>
            </w:r>
          </w:p>
        </w:tc>
      </w:tr>
      <w:tr>
        <w:tc>
          <w:tcPr>
            <w:tcW w:type="dxa" w:w="1500"/>
          </w:tcPr>
          <w:p>
            <w:pPr>
              <w:spacing w:after="0"/>
              <w:jc w:val="center"/>
            </w:pPr>
            <w:r>
              <w:rPr>
                <w:rFonts w:ascii="Calibri" w:hAnsi="Calibri"/>
                <w:color w:val="111827"/>
                <w:sz w:val="18"/>
              </w:rPr>
              <w:t>Input N2</w:t>
            </w:r>
          </w:p>
        </w:tc>
        <w:tc>
          <w:tcPr>
            <w:tcW w:type="dxa" w:w="786"/>
          </w:tcPr>
          <w:p>
            <w:pPr>
              <w:spacing w:after="0"/>
              <w:jc w:val="center"/>
            </w:pPr>
            <w:r>
              <w:rPr>
                <w:rFonts w:ascii="Calibri" w:hAnsi="Calibri"/>
                <w:color w:val="111827"/>
                <w:sz w:val="18"/>
              </w:rPr>
              <w:t>0.09701721</w:t>
            </w:r>
          </w:p>
        </w:tc>
        <w:tc>
          <w:tcPr>
            <w:tcW w:type="dxa" w:w="786"/>
          </w:tcPr>
          <w:p>
            <w:pPr>
              <w:spacing w:after="0"/>
              <w:jc w:val="center"/>
            </w:pPr>
            <w:r>
              <w:rPr>
                <w:rFonts w:ascii="Calibri" w:hAnsi="Calibri"/>
                <w:color w:val="111827"/>
                <w:sz w:val="18"/>
              </w:rPr>
              <w:t>0.36824157</w:t>
            </w:r>
          </w:p>
        </w:tc>
        <w:tc>
          <w:tcPr>
            <w:tcW w:type="dxa" w:w="786"/>
          </w:tcPr>
          <w:p>
            <w:pPr>
              <w:spacing w:after="0"/>
              <w:jc w:val="center"/>
            </w:pPr>
            <w:r>
              <w:rPr>
                <w:rFonts w:ascii="Calibri" w:hAnsi="Calibri"/>
                <w:color w:val="111827"/>
                <w:sz w:val="18"/>
              </w:rPr>
              <w:t>-0.12536037</w:t>
            </w:r>
          </w:p>
        </w:tc>
        <w:tc>
          <w:tcPr>
            <w:tcW w:type="dxa" w:w="786"/>
          </w:tcPr>
          <w:p>
            <w:pPr>
              <w:spacing w:after="0"/>
              <w:jc w:val="center"/>
            </w:pPr>
            <w:r>
              <w:rPr>
                <w:rFonts w:ascii="Calibri" w:hAnsi="Calibri"/>
                <w:color w:val="111827"/>
                <w:sz w:val="18"/>
              </w:rPr>
              <w:t>0.22654306</w:t>
            </w:r>
          </w:p>
        </w:tc>
        <w:tc>
          <w:tcPr>
            <w:tcW w:type="dxa" w:w="786"/>
          </w:tcPr>
          <w:p>
            <w:pPr>
              <w:spacing w:after="0"/>
              <w:jc w:val="center"/>
            </w:pPr>
            <w:r>
              <w:rPr>
                <w:rFonts w:ascii="Calibri" w:hAnsi="Calibri"/>
                <w:color w:val="111827"/>
                <w:sz w:val="18"/>
              </w:rPr>
              <w:t>-0.99076918</w:t>
            </w:r>
          </w:p>
        </w:tc>
        <w:tc>
          <w:tcPr>
            <w:tcW w:type="dxa" w:w="786"/>
          </w:tcPr>
          <w:p>
            <w:pPr>
              <w:spacing w:after="0"/>
              <w:jc w:val="center"/>
            </w:pPr>
            <w:r>
              <w:rPr>
                <w:rFonts w:ascii="Calibri" w:hAnsi="Calibri"/>
                <w:color w:val="111827"/>
                <w:sz w:val="18"/>
              </w:rPr>
              <w:t>2.32901163</w:t>
            </w:r>
          </w:p>
        </w:tc>
        <w:tc>
          <w:tcPr>
            <w:tcW w:type="dxa" w:w="786"/>
          </w:tcPr>
          <w:p>
            <w:pPr>
              <w:spacing w:after="0"/>
              <w:jc w:val="center"/>
            </w:pPr>
            <w:r>
              <w:rPr>
                <w:rFonts w:ascii="Calibri" w:hAnsi="Calibri"/>
                <w:color w:val="111827"/>
                <w:sz w:val="18"/>
              </w:rPr>
              <w:t>-0.47888067</w:t>
            </w:r>
          </w:p>
        </w:tc>
        <w:tc>
          <w:tcPr>
            <w:tcW w:type="dxa" w:w="786"/>
          </w:tcPr>
          <w:p>
            <w:pPr>
              <w:spacing w:after="0"/>
              <w:jc w:val="center"/>
            </w:pPr>
            <w:r>
              <w:rPr>
                <w:rFonts w:ascii="Calibri" w:hAnsi="Calibri"/>
                <w:color w:val="111827"/>
                <w:sz w:val="18"/>
              </w:rPr>
              <w:t>0.10065089</w:t>
            </w:r>
          </w:p>
        </w:tc>
        <w:tc>
          <w:tcPr>
            <w:tcW w:type="dxa" w:w="786"/>
          </w:tcPr>
          <w:p>
            <w:pPr>
              <w:spacing w:after="0"/>
              <w:jc w:val="center"/>
            </w:pPr>
            <w:r>
              <w:rPr>
                <w:rFonts w:ascii="Calibri" w:hAnsi="Calibri"/>
                <w:color w:val="111827"/>
                <w:sz w:val="18"/>
              </w:rPr>
              <w:t>0.06049155</w:t>
            </w:r>
          </w:p>
        </w:tc>
        <w:tc>
          <w:tcPr>
            <w:tcW w:type="dxa" w:w="786"/>
          </w:tcPr>
          <w:p>
            <w:pPr>
              <w:spacing w:after="0"/>
              <w:jc w:val="left"/>
            </w:pPr>
            <w:r>
              <w:rPr>
                <w:rFonts w:ascii="Calibri" w:hAnsi="Calibri"/>
                <w:color w:val="111827"/>
                <w:sz w:val="18"/>
              </w:rPr>
              <w:t>-0.18840999</w:t>
            </w:r>
          </w:p>
        </w:tc>
      </w:tr>
      <w:tr>
        <w:tc>
          <w:tcPr>
            <w:tcW w:type="dxa" w:w="1500"/>
          </w:tcPr>
          <w:p>
            <w:pPr>
              <w:spacing w:after="0"/>
              <w:jc w:val="center"/>
            </w:pPr>
            <w:r>
              <w:rPr>
                <w:rFonts w:ascii="Calibri" w:hAnsi="Calibri"/>
                <w:color w:val="111827"/>
                <w:sz w:val="18"/>
              </w:rPr>
              <w:t>Input N3</w:t>
            </w:r>
          </w:p>
        </w:tc>
        <w:tc>
          <w:tcPr>
            <w:tcW w:type="dxa" w:w="786"/>
          </w:tcPr>
          <w:p>
            <w:pPr>
              <w:spacing w:after="0"/>
              <w:jc w:val="center"/>
            </w:pPr>
            <w:r>
              <w:rPr>
                <w:rFonts w:ascii="Calibri" w:hAnsi="Calibri"/>
                <w:color w:val="111827"/>
                <w:sz w:val="18"/>
              </w:rPr>
              <w:t>-0.56357619</w:t>
            </w:r>
          </w:p>
        </w:tc>
        <w:tc>
          <w:tcPr>
            <w:tcW w:type="dxa" w:w="786"/>
          </w:tcPr>
          <w:p>
            <w:pPr>
              <w:spacing w:after="0"/>
              <w:jc w:val="center"/>
            </w:pPr>
            <w:r>
              <w:rPr>
                <w:rFonts w:ascii="Calibri" w:hAnsi="Calibri"/>
                <w:color w:val="111827"/>
                <w:sz w:val="18"/>
              </w:rPr>
              <w:t>0.07798374</w:t>
            </w:r>
          </w:p>
        </w:tc>
        <w:tc>
          <w:tcPr>
            <w:tcW w:type="dxa" w:w="786"/>
          </w:tcPr>
          <w:p>
            <w:pPr>
              <w:spacing w:after="0"/>
              <w:jc w:val="center"/>
            </w:pPr>
            <w:r>
              <w:rPr>
                <w:rFonts w:ascii="Calibri" w:hAnsi="Calibri"/>
                <w:color w:val="111827"/>
                <w:sz w:val="18"/>
              </w:rPr>
              <w:t>0.87178049</w:t>
            </w:r>
          </w:p>
        </w:tc>
        <w:tc>
          <w:tcPr>
            <w:tcW w:type="dxa" w:w="786"/>
          </w:tcPr>
          <w:p>
            <w:pPr>
              <w:spacing w:after="0"/>
              <w:jc w:val="center"/>
            </w:pPr>
            <w:r>
              <w:rPr>
                <w:rFonts w:ascii="Calibri" w:hAnsi="Calibri"/>
                <w:color w:val="111827"/>
                <w:sz w:val="18"/>
              </w:rPr>
              <w:t>0.08183443</w:t>
            </w:r>
          </w:p>
        </w:tc>
        <w:tc>
          <w:tcPr>
            <w:tcW w:type="dxa" w:w="786"/>
          </w:tcPr>
          <w:p>
            <w:pPr>
              <w:spacing w:after="0"/>
              <w:jc w:val="center"/>
            </w:pPr>
            <w:r>
              <w:rPr>
                <w:rFonts w:ascii="Calibri" w:hAnsi="Calibri"/>
                <w:color w:val="111827"/>
                <w:sz w:val="18"/>
              </w:rPr>
              <w:t>-0.10973698</w:t>
            </w:r>
          </w:p>
        </w:tc>
        <w:tc>
          <w:tcPr>
            <w:tcW w:type="dxa" w:w="786"/>
          </w:tcPr>
          <w:p>
            <w:pPr>
              <w:spacing w:after="0"/>
              <w:jc w:val="center"/>
            </w:pPr>
            <w:r>
              <w:rPr>
                <w:rFonts w:ascii="Calibri" w:hAnsi="Calibri"/>
                <w:color w:val="111827"/>
                <w:sz w:val="18"/>
              </w:rPr>
              <w:t>-1.27009378</w:t>
            </w:r>
          </w:p>
        </w:tc>
        <w:tc>
          <w:tcPr>
            <w:tcW w:type="dxa" w:w="786"/>
          </w:tcPr>
          <w:p>
            <w:pPr>
              <w:spacing w:after="0"/>
              <w:jc w:val="center"/>
            </w:pPr>
            <w:r>
              <w:rPr>
                <w:rFonts w:ascii="Calibri" w:hAnsi="Calibri"/>
                <w:color w:val="111827"/>
                <w:sz w:val="18"/>
              </w:rPr>
              <w:t>-0.03589889</w:t>
            </w:r>
          </w:p>
        </w:tc>
        <w:tc>
          <w:tcPr>
            <w:tcW w:type="dxa" w:w="786"/>
          </w:tcPr>
          <w:p>
            <w:pPr>
              <w:spacing w:after="0"/>
              <w:jc w:val="center"/>
            </w:pPr>
            <w:r>
              <w:rPr>
                <w:rFonts w:ascii="Calibri" w:hAnsi="Calibri"/>
                <w:color w:val="111827"/>
                <w:sz w:val="18"/>
              </w:rPr>
              <w:t>-0.06085377</w:t>
            </w:r>
          </w:p>
        </w:tc>
        <w:tc>
          <w:tcPr>
            <w:tcW w:type="dxa" w:w="786"/>
          </w:tcPr>
          <w:p>
            <w:pPr>
              <w:spacing w:after="0"/>
              <w:jc w:val="center"/>
            </w:pPr>
            <w:r>
              <w:rPr>
                <w:rFonts w:ascii="Calibri" w:hAnsi="Calibri"/>
                <w:color w:val="111827"/>
                <w:sz w:val="18"/>
              </w:rPr>
              <w:t>0.06445468</w:t>
            </w:r>
          </w:p>
        </w:tc>
        <w:tc>
          <w:tcPr>
            <w:tcW w:type="dxa" w:w="786"/>
          </w:tcPr>
          <w:p>
            <w:pPr>
              <w:spacing w:after="0"/>
              <w:jc w:val="left"/>
            </w:pPr>
            <w:r>
              <w:rPr>
                <w:rFonts w:ascii="Calibri" w:hAnsi="Calibri"/>
                <w:color w:val="111827"/>
                <w:sz w:val="18"/>
              </w:rPr>
              <w:t>-0.65780922</w:t>
            </w:r>
          </w:p>
        </w:tc>
      </w:tr>
      <w:tr>
        <w:tc>
          <w:tcPr>
            <w:tcW w:type="dxa" w:w="1500"/>
          </w:tcPr>
          <w:p>
            <w:pPr>
              <w:spacing w:after="0"/>
              <w:jc w:val="center"/>
            </w:pPr>
            <w:r>
              <w:rPr>
                <w:rFonts w:ascii="Calibri" w:hAnsi="Calibri"/>
                <w:color w:val="111827"/>
                <w:sz w:val="18"/>
              </w:rPr>
              <w:t>Input N4</w:t>
            </w:r>
          </w:p>
        </w:tc>
        <w:tc>
          <w:tcPr>
            <w:tcW w:type="dxa" w:w="786"/>
          </w:tcPr>
          <w:p>
            <w:pPr>
              <w:spacing w:after="0"/>
              <w:jc w:val="center"/>
            </w:pPr>
            <w:r>
              <w:rPr>
                <w:rFonts w:ascii="Calibri" w:hAnsi="Calibri"/>
                <w:color w:val="111827"/>
                <w:sz w:val="18"/>
              </w:rPr>
              <w:t>0.28615494</w:t>
            </w:r>
          </w:p>
        </w:tc>
        <w:tc>
          <w:tcPr>
            <w:tcW w:type="dxa" w:w="786"/>
          </w:tcPr>
          <w:p>
            <w:pPr>
              <w:spacing w:after="0"/>
              <w:jc w:val="center"/>
            </w:pPr>
            <w:r>
              <w:rPr>
                <w:rFonts w:ascii="Calibri" w:hAnsi="Calibri"/>
                <w:color w:val="111827"/>
                <w:sz w:val="18"/>
              </w:rPr>
              <w:t>-0.59955813</w:t>
            </w:r>
          </w:p>
        </w:tc>
        <w:tc>
          <w:tcPr>
            <w:tcW w:type="dxa" w:w="786"/>
          </w:tcPr>
          <w:p>
            <w:pPr>
              <w:spacing w:after="0"/>
              <w:jc w:val="center"/>
            </w:pPr>
            <w:r>
              <w:rPr>
                <w:rFonts w:ascii="Calibri" w:hAnsi="Calibri"/>
                <w:color w:val="111827"/>
                <w:sz w:val="18"/>
              </w:rPr>
              <w:t>-1.58451849</w:t>
            </w:r>
          </w:p>
        </w:tc>
        <w:tc>
          <w:tcPr>
            <w:tcW w:type="dxa" w:w="786"/>
          </w:tcPr>
          <w:p>
            <w:pPr>
              <w:spacing w:after="0"/>
              <w:jc w:val="center"/>
            </w:pPr>
            <w:r>
              <w:rPr>
                <w:rFonts w:ascii="Calibri" w:hAnsi="Calibri"/>
                <w:color w:val="111827"/>
                <w:sz w:val="18"/>
              </w:rPr>
              <w:t>-0.33541917</w:t>
            </w:r>
          </w:p>
        </w:tc>
        <w:tc>
          <w:tcPr>
            <w:tcW w:type="dxa" w:w="786"/>
          </w:tcPr>
          <w:p>
            <w:pPr>
              <w:spacing w:after="0"/>
              <w:jc w:val="center"/>
            </w:pPr>
            <w:r>
              <w:rPr>
                <w:rFonts w:ascii="Calibri" w:hAnsi="Calibri"/>
                <w:color w:val="111827"/>
                <w:sz w:val="18"/>
              </w:rPr>
              <w:t>1.46005577</w:t>
            </w:r>
          </w:p>
        </w:tc>
        <w:tc>
          <w:tcPr>
            <w:tcW w:type="dxa" w:w="786"/>
          </w:tcPr>
          <w:p>
            <w:pPr>
              <w:spacing w:after="0"/>
              <w:jc w:val="center"/>
            </w:pPr>
            <w:r>
              <w:rPr>
                <w:rFonts w:ascii="Calibri" w:hAnsi="Calibri"/>
                <w:color w:val="111827"/>
                <w:sz w:val="18"/>
              </w:rPr>
              <w:t>2.52034437</w:t>
            </w:r>
          </w:p>
        </w:tc>
        <w:tc>
          <w:tcPr>
            <w:tcW w:type="dxa" w:w="786"/>
          </w:tcPr>
          <w:p>
            <w:pPr>
              <w:spacing w:after="0"/>
              <w:jc w:val="center"/>
            </w:pPr>
            <w:r>
              <w:rPr>
                <w:rFonts w:ascii="Calibri" w:hAnsi="Calibri"/>
                <w:color w:val="111827"/>
                <w:sz w:val="18"/>
              </w:rPr>
              <w:t>0.73869995</w:t>
            </w:r>
          </w:p>
        </w:tc>
        <w:tc>
          <w:tcPr>
            <w:tcW w:type="dxa" w:w="786"/>
          </w:tcPr>
          <w:p>
            <w:pPr>
              <w:spacing w:after="0"/>
              <w:jc w:val="center"/>
            </w:pPr>
            <w:r>
              <w:rPr>
                <w:rFonts w:ascii="Calibri" w:hAnsi="Calibri"/>
                <w:color w:val="111827"/>
                <w:sz w:val="18"/>
              </w:rPr>
              <w:t>-0.29410619</w:t>
            </w:r>
          </w:p>
        </w:tc>
        <w:tc>
          <w:tcPr>
            <w:tcW w:type="dxa" w:w="786"/>
          </w:tcPr>
          <w:p>
            <w:pPr>
              <w:spacing w:after="0"/>
              <w:jc w:val="center"/>
            </w:pPr>
            <w:r>
              <w:rPr>
                <w:rFonts w:ascii="Calibri" w:hAnsi="Calibri"/>
                <w:color w:val="111827"/>
                <w:sz w:val="18"/>
              </w:rPr>
              <w:t>0.02133744</w:t>
            </w:r>
          </w:p>
        </w:tc>
        <w:tc>
          <w:tcPr>
            <w:tcW w:type="dxa" w:w="786"/>
          </w:tcPr>
          <w:p>
            <w:pPr>
              <w:spacing w:after="0"/>
              <w:jc w:val="left"/>
            </w:pPr>
            <w:r>
              <w:rPr>
                <w:rFonts w:ascii="Calibri" w:hAnsi="Calibri"/>
                <w:color w:val="111827"/>
                <w:sz w:val="18"/>
              </w:rPr>
              <w:t>-2.46967103</w:t>
            </w:r>
          </w:p>
        </w:tc>
      </w:tr>
      <w:tr>
        <w:tc>
          <w:tcPr>
            <w:tcW w:type="dxa" w:w="1500"/>
          </w:tcPr>
          <w:p>
            <w:pPr>
              <w:spacing w:after="0"/>
              <w:jc w:val="center"/>
            </w:pPr>
            <w:r>
              <w:rPr>
                <w:rFonts w:ascii="Calibri" w:hAnsi="Calibri"/>
                <w:color w:val="111827"/>
                <w:sz w:val="18"/>
              </w:rPr>
              <w:t>Bias</w:t>
            </w:r>
          </w:p>
        </w:tc>
        <w:tc>
          <w:tcPr>
            <w:tcW w:type="dxa" w:w="786"/>
          </w:tcPr>
          <w:p>
            <w:pPr>
              <w:spacing w:after="0"/>
              <w:jc w:val="center"/>
            </w:pPr>
            <w:r>
              <w:rPr>
                <w:rFonts w:ascii="Calibri" w:hAnsi="Calibri"/>
                <w:color w:val="111827"/>
                <w:sz w:val="18"/>
              </w:rPr>
              <w:t>-0.06587824</w:t>
            </w:r>
          </w:p>
        </w:tc>
        <w:tc>
          <w:tcPr>
            <w:tcW w:type="dxa" w:w="786"/>
          </w:tcPr>
          <w:p>
            <w:pPr>
              <w:spacing w:after="0"/>
              <w:jc w:val="center"/>
            </w:pPr>
            <w:r>
              <w:rPr>
                <w:rFonts w:ascii="Calibri" w:hAnsi="Calibri"/>
                <w:color w:val="111827"/>
                <w:sz w:val="18"/>
              </w:rPr>
              <w:t>0.14073653</w:t>
            </w:r>
          </w:p>
        </w:tc>
        <w:tc>
          <w:tcPr>
            <w:tcW w:type="dxa" w:w="786"/>
          </w:tcPr>
          <w:p>
            <w:pPr>
              <w:spacing w:after="0"/>
              <w:jc w:val="center"/>
            </w:pPr>
            <w:r>
              <w:rPr>
                <w:rFonts w:ascii="Calibri" w:hAnsi="Calibri"/>
                <w:color w:val="111827"/>
                <w:sz w:val="18"/>
              </w:rPr>
              <w:t>0.07710316</w:t>
            </w:r>
          </w:p>
        </w:tc>
        <w:tc>
          <w:tcPr>
            <w:tcW w:type="dxa" w:w="786"/>
          </w:tcPr>
          <w:p>
            <w:pPr>
              <w:spacing w:after="0"/>
              <w:jc w:val="center"/>
            </w:pPr>
            <w:r>
              <w:rPr>
                <w:rFonts w:ascii="Calibri" w:hAnsi="Calibri"/>
                <w:color w:val="111827"/>
                <w:sz w:val="18"/>
              </w:rPr>
              <w:t>0.05737755</w:t>
            </w:r>
          </w:p>
        </w:tc>
        <w:tc>
          <w:tcPr>
            <w:tcW w:type="dxa" w:w="786"/>
          </w:tcPr>
          <w:p>
            <w:pPr>
              <w:spacing w:after="0"/>
              <w:jc w:val="center"/>
            </w:pPr>
            <w:r>
              <w:rPr>
                <w:rFonts w:ascii="Calibri" w:hAnsi="Calibri"/>
                <w:color w:val="111827"/>
                <w:sz w:val="18"/>
              </w:rPr>
              <w:t>-0.58514372</w:t>
            </w:r>
          </w:p>
        </w:tc>
        <w:tc>
          <w:tcPr>
            <w:tcW w:type="dxa" w:w="786"/>
          </w:tcPr>
          <w:p>
            <w:pPr>
              <w:spacing w:after="0"/>
              <w:jc w:val="center"/>
            </w:pPr>
            <w:r>
              <w:rPr>
                <w:rFonts w:ascii="Calibri" w:hAnsi="Calibri"/>
                <w:color w:val="111827"/>
                <w:sz w:val="18"/>
              </w:rPr>
              <w:t>-0.52270639</w:t>
            </w:r>
          </w:p>
        </w:tc>
        <w:tc>
          <w:tcPr>
            <w:tcW w:type="dxa" w:w="786"/>
          </w:tcPr>
          <w:p>
            <w:pPr>
              <w:spacing w:after="0"/>
              <w:jc w:val="center"/>
            </w:pPr>
            <w:r>
              <w:rPr>
                <w:rFonts w:ascii="Calibri" w:hAnsi="Calibri"/>
                <w:color w:val="111827"/>
                <w:sz w:val="18"/>
              </w:rPr>
              <w:t>-0.14987182</w:t>
            </w:r>
          </w:p>
        </w:tc>
        <w:tc>
          <w:tcPr>
            <w:tcW w:type="dxa" w:w="786"/>
          </w:tcPr>
          <w:p>
            <w:pPr>
              <w:spacing w:after="0"/>
              <w:jc w:val="center"/>
            </w:pPr>
            <w:r>
              <w:rPr>
                <w:rFonts w:ascii="Calibri" w:hAnsi="Calibri"/>
                <w:color w:val="111827"/>
                <w:sz w:val="18"/>
              </w:rPr>
              <w:t>-0.11472667</w:t>
            </w:r>
          </w:p>
        </w:tc>
        <w:tc>
          <w:tcPr>
            <w:tcW w:type="dxa" w:w="786"/>
          </w:tcPr>
          <w:p>
            <w:pPr>
              <w:spacing w:after="0"/>
              <w:jc w:val="center"/>
            </w:pPr>
            <w:r>
              <w:rPr>
                <w:rFonts w:ascii="Calibri" w:hAnsi="Calibri"/>
                <w:color w:val="111827"/>
                <w:sz w:val="18"/>
              </w:rPr>
              <w:t>0.01297010</w:t>
            </w:r>
          </w:p>
        </w:tc>
        <w:tc>
          <w:tcPr>
            <w:tcW w:type="dxa" w:w="786"/>
          </w:tcPr>
          <w:p>
            <w:pPr>
              <w:spacing w:after="0"/>
              <w:jc w:val="left"/>
            </w:pPr>
            <w:r>
              <w:rPr>
                <w:rFonts w:ascii="Calibri" w:hAnsi="Calibri"/>
                <w:color w:val="111827"/>
                <w:sz w:val="18"/>
              </w:rPr>
              <w:t>0.33475232</w:t>
            </w:r>
          </w:p>
        </w:tc>
      </w:tr>
    </w:tbl>
    <w:p>
      <w:pPr>
        <w:spacing w:after="40"/>
      </w:pPr>
    </w:p>
    <w:p>
      <w:pPr>
        <w:pStyle w:val="Heading3"/>
        <w:keepNext/>
      </w:pPr>
      <w:r>
        <w:t>Layer 2</w:t>
      </w:r>
    </w:p>
    <w:tbl>
      <w:tblPr>
        <w:tblStyle w:val="TableGrid"/>
        <w:tblW w:type="dxa" w:w="9360"/>
        <w:jc w:val="left"/>
        <w:tblLayout w:type="fixed"/>
        <w:tblLook w:firstColumn="1" w:firstRow="1" w:lastColumn="0" w:lastRow="0" w:noHBand="0" w:noVBand="1" w:val="04A0"/>
        <w:tblInd w:w="120" w:type="dxa"/>
      </w:tblPr>
      <w:tblGrid>
        <w:gridCol w:w="1500"/>
        <w:gridCol w:w="1310"/>
        <w:gridCol w:w="1310"/>
        <w:gridCol w:w="1310"/>
        <w:gridCol w:w="1310"/>
        <w:gridCol w:w="1310"/>
        <w:gridCol w:w="1310"/>
      </w:tblGrid>
      <w:tr>
        <w:trPr>
          <w:tblHeader w:val="true"/>
        </w:trPr>
        <w:tc>
          <w:tcPr>
            <w:tcW w:type="dxa" w:w="1500"/>
            <w:tcMar>
              <w:top w:w="80" w:type="dxa"/>
              <w:start w:w="120" w:type="dxa"/>
              <w:bottom w:w="80" w:type="dxa"/>
              <w:end w:w="120" w:type="dxa"/>
            </w:tcMar>
            <w:vAlign w:val="center"/>
            <w:shd w:fill="F4F6F9"/>
          </w:tcPr>
          <w:p>
            <w:pPr>
              <w:spacing w:after="0"/>
              <w:jc w:val="center"/>
            </w:pPr>
            <w:r>
              <w:rPr>
                <w:rFonts w:ascii="Calibri" w:hAnsi="Calibri"/>
                <w:b/>
                <w:color w:val="1F4D78"/>
                <w:sz w:val="18"/>
              </w:rPr>
              <w:t>From / bias</w:t>
            </w:r>
          </w:p>
        </w:tc>
        <w:tc>
          <w:tcPr>
            <w:tcW w:type="dxa" w:w="1310"/>
            <w:tcMar>
              <w:top w:w="80" w:type="dxa"/>
              <w:start w:w="120" w:type="dxa"/>
              <w:bottom w:w="80" w:type="dxa"/>
              <w:end w:w="120" w:type="dxa"/>
            </w:tcMar>
            <w:vAlign w:val="center"/>
            <w:shd w:fill="F4F6F9"/>
          </w:tcPr>
          <w:p>
            <w:pPr>
              <w:spacing w:after="0"/>
              <w:jc w:val="center"/>
            </w:pPr>
            <w:r>
              <w:rPr>
                <w:rFonts w:ascii="Calibri" w:hAnsi="Calibri"/>
                <w:b/>
                <w:color w:val="1F4D78"/>
                <w:sz w:val="18"/>
              </w:rPr>
              <w:t>N1</w:t>
            </w:r>
          </w:p>
        </w:tc>
        <w:tc>
          <w:tcPr>
            <w:tcW w:type="dxa" w:w="1310"/>
            <w:tcMar>
              <w:top w:w="80" w:type="dxa"/>
              <w:start w:w="120" w:type="dxa"/>
              <w:bottom w:w="80" w:type="dxa"/>
              <w:end w:w="120" w:type="dxa"/>
            </w:tcMar>
            <w:vAlign w:val="center"/>
            <w:shd w:fill="F4F6F9"/>
          </w:tcPr>
          <w:p>
            <w:pPr>
              <w:spacing w:after="0"/>
              <w:jc w:val="center"/>
            </w:pPr>
            <w:r>
              <w:rPr>
                <w:rFonts w:ascii="Calibri" w:hAnsi="Calibri"/>
                <w:b/>
                <w:color w:val="1F4D78"/>
                <w:sz w:val="18"/>
              </w:rPr>
              <w:t>N2</w:t>
            </w:r>
          </w:p>
        </w:tc>
        <w:tc>
          <w:tcPr>
            <w:tcW w:type="dxa" w:w="1310"/>
            <w:tcMar>
              <w:top w:w="80" w:type="dxa"/>
              <w:start w:w="120" w:type="dxa"/>
              <w:bottom w:w="80" w:type="dxa"/>
              <w:end w:w="120" w:type="dxa"/>
            </w:tcMar>
            <w:vAlign w:val="center"/>
            <w:shd w:fill="F4F6F9"/>
          </w:tcPr>
          <w:p>
            <w:pPr>
              <w:spacing w:after="0"/>
              <w:jc w:val="center"/>
            </w:pPr>
            <w:r>
              <w:rPr>
                <w:rFonts w:ascii="Calibri" w:hAnsi="Calibri"/>
                <w:b/>
                <w:color w:val="1F4D78"/>
                <w:sz w:val="18"/>
              </w:rPr>
              <w:t>N3</w:t>
            </w:r>
          </w:p>
        </w:tc>
        <w:tc>
          <w:tcPr>
            <w:tcW w:type="dxa" w:w="1310"/>
            <w:tcMar>
              <w:top w:w="80" w:type="dxa"/>
              <w:start w:w="120" w:type="dxa"/>
              <w:bottom w:w="80" w:type="dxa"/>
              <w:end w:w="120" w:type="dxa"/>
            </w:tcMar>
            <w:vAlign w:val="center"/>
            <w:shd w:fill="F4F6F9"/>
          </w:tcPr>
          <w:p>
            <w:pPr>
              <w:spacing w:after="0"/>
              <w:jc w:val="center"/>
            </w:pPr>
            <w:r>
              <w:rPr>
                <w:rFonts w:ascii="Calibri" w:hAnsi="Calibri"/>
                <w:b/>
                <w:color w:val="1F4D78"/>
                <w:sz w:val="18"/>
              </w:rPr>
              <w:t>N4</w:t>
            </w:r>
          </w:p>
        </w:tc>
        <w:tc>
          <w:tcPr>
            <w:tcW w:type="dxa" w:w="1310"/>
            <w:tcMar>
              <w:top w:w="80" w:type="dxa"/>
              <w:start w:w="120" w:type="dxa"/>
              <w:bottom w:w="80" w:type="dxa"/>
              <w:end w:w="120" w:type="dxa"/>
            </w:tcMar>
            <w:vAlign w:val="center"/>
            <w:shd w:fill="F4F6F9"/>
          </w:tcPr>
          <w:p>
            <w:pPr>
              <w:spacing w:after="0"/>
              <w:jc w:val="center"/>
            </w:pPr>
            <w:r>
              <w:rPr>
                <w:rFonts w:ascii="Calibri" w:hAnsi="Calibri"/>
                <w:b/>
                <w:color w:val="1F4D78"/>
                <w:sz w:val="18"/>
              </w:rPr>
              <w:t>N5</w:t>
            </w:r>
          </w:p>
        </w:tc>
        <w:tc>
          <w:tcPr>
            <w:tcW w:type="dxa" w:w="1310"/>
            <w:tcMar>
              <w:top w:w="80" w:type="dxa"/>
              <w:start w:w="120" w:type="dxa"/>
              <w:bottom w:w="80" w:type="dxa"/>
              <w:end w:w="120" w:type="dxa"/>
            </w:tcMar>
            <w:vAlign w:val="center"/>
            <w:shd w:fill="F4F6F9"/>
          </w:tcPr>
          <w:p>
            <w:pPr>
              <w:spacing w:after="0"/>
              <w:jc w:val="center"/>
            </w:pPr>
            <w:r>
              <w:rPr>
                <w:rFonts w:ascii="Calibri" w:hAnsi="Calibri"/>
                <w:b/>
                <w:color w:val="1F4D78"/>
                <w:sz w:val="18"/>
              </w:rPr>
              <w:t>N6</w:t>
            </w:r>
          </w:p>
        </w:tc>
      </w:tr>
      <w:tr>
        <w:tc>
          <w:tcPr>
            <w:tcW w:type="dxa" w:w="1500"/>
          </w:tcPr>
          <w:p>
            <w:pPr>
              <w:spacing w:after="0"/>
              <w:jc w:val="center"/>
            </w:pPr>
            <w:r>
              <w:rPr>
                <w:rFonts w:ascii="Calibri" w:hAnsi="Calibri"/>
                <w:color w:val="111827"/>
                <w:sz w:val="18"/>
              </w:rPr>
              <w:t>Input N1</w:t>
            </w:r>
          </w:p>
        </w:tc>
        <w:tc>
          <w:tcPr>
            <w:tcW w:type="dxa" w:w="1310"/>
          </w:tcPr>
          <w:p>
            <w:pPr>
              <w:spacing w:after="0"/>
              <w:jc w:val="center"/>
            </w:pPr>
            <w:r>
              <w:rPr>
                <w:rFonts w:ascii="Calibri" w:hAnsi="Calibri"/>
                <w:color w:val="111827"/>
                <w:sz w:val="18"/>
              </w:rPr>
              <w:t>0.15594740</w:t>
            </w:r>
          </w:p>
        </w:tc>
        <w:tc>
          <w:tcPr>
            <w:tcW w:type="dxa" w:w="1310"/>
          </w:tcPr>
          <w:p>
            <w:pPr>
              <w:spacing w:after="0"/>
              <w:jc w:val="center"/>
            </w:pPr>
            <w:r>
              <w:rPr>
                <w:rFonts w:ascii="Calibri" w:hAnsi="Calibri"/>
                <w:color w:val="111827"/>
                <w:sz w:val="18"/>
              </w:rPr>
              <w:t>-0.21057451</w:t>
            </w:r>
          </w:p>
        </w:tc>
        <w:tc>
          <w:tcPr>
            <w:tcW w:type="dxa" w:w="1310"/>
          </w:tcPr>
          <w:p>
            <w:pPr>
              <w:spacing w:after="0"/>
              <w:jc w:val="center"/>
            </w:pPr>
            <w:r>
              <w:rPr>
                <w:rFonts w:ascii="Calibri" w:hAnsi="Calibri"/>
                <w:color w:val="111827"/>
                <w:sz w:val="18"/>
              </w:rPr>
              <w:t>-0.35979620</w:t>
            </w:r>
          </w:p>
        </w:tc>
        <w:tc>
          <w:tcPr>
            <w:tcW w:type="dxa" w:w="1310"/>
          </w:tcPr>
          <w:p>
            <w:pPr>
              <w:spacing w:after="0"/>
              <w:jc w:val="center"/>
            </w:pPr>
            <w:r>
              <w:rPr>
                <w:rFonts w:ascii="Calibri" w:hAnsi="Calibri"/>
                <w:color w:val="111827"/>
                <w:sz w:val="18"/>
              </w:rPr>
              <w:t>-0.06197005</w:t>
            </w:r>
          </w:p>
        </w:tc>
        <w:tc>
          <w:tcPr>
            <w:tcW w:type="dxa" w:w="1310"/>
          </w:tcPr>
          <w:p>
            <w:pPr>
              <w:spacing w:after="0"/>
              <w:jc w:val="center"/>
            </w:pPr>
            <w:r>
              <w:rPr>
                <w:rFonts w:ascii="Calibri" w:hAnsi="Calibri"/>
                <w:color w:val="111827"/>
                <w:sz w:val="18"/>
              </w:rPr>
              <w:t>-0.22106275</w:t>
            </w:r>
          </w:p>
        </w:tc>
        <w:tc>
          <w:tcPr>
            <w:tcW w:type="dxa" w:w="1310"/>
          </w:tcPr>
          <w:p>
            <w:pPr>
              <w:spacing w:after="0"/>
              <w:jc w:val="left"/>
            </w:pPr>
            <w:r>
              <w:rPr>
                <w:rFonts w:ascii="Calibri" w:hAnsi="Calibri"/>
                <w:color w:val="111827"/>
                <w:sz w:val="18"/>
              </w:rPr>
              <w:t>-0.27808019</w:t>
            </w:r>
          </w:p>
        </w:tc>
      </w:tr>
      <w:tr>
        <w:tc>
          <w:tcPr>
            <w:tcW w:type="dxa" w:w="1500"/>
          </w:tcPr>
          <w:p>
            <w:pPr>
              <w:spacing w:after="0"/>
              <w:jc w:val="center"/>
            </w:pPr>
            <w:r>
              <w:rPr>
                <w:rFonts w:ascii="Calibri" w:hAnsi="Calibri"/>
                <w:color w:val="111827"/>
                <w:sz w:val="18"/>
              </w:rPr>
              <w:t>Input N2</w:t>
            </w:r>
          </w:p>
        </w:tc>
        <w:tc>
          <w:tcPr>
            <w:tcW w:type="dxa" w:w="1310"/>
          </w:tcPr>
          <w:p>
            <w:pPr>
              <w:spacing w:after="0"/>
              <w:jc w:val="center"/>
            </w:pPr>
            <w:r>
              <w:rPr>
                <w:rFonts w:ascii="Calibri" w:hAnsi="Calibri"/>
                <w:color w:val="111827"/>
                <w:sz w:val="18"/>
              </w:rPr>
              <w:t>0.08659315</w:t>
            </w:r>
          </w:p>
        </w:tc>
        <w:tc>
          <w:tcPr>
            <w:tcW w:type="dxa" w:w="1310"/>
          </w:tcPr>
          <w:p>
            <w:pPr>
              <w:spacing w:after="0"/>
              <w:jc w:val="center"/>
            </w:pPr>
            <w:r>
              <w:rPr>
                <w:rFonts w:ascii="Calibri" w:hAnsi="Calibri"/>
                <w:color w:val="111827"/>
                <w:sz w:val="18"/>
              </w:rPr>
              <w:t>-0.42496249</w:t>
            </w:r>
          </w:p>
        </w:tc>
        <w:tc>
          <w:tcPr>
            <w:tcW w:type="dxa" w:w="1310"/>
          </w:tcPr>
          <w:p>
            <w:pPr>
              <w:spacing w:after="0"/>
              <w:jc w:val="center"/>
            </w:pPr>
            <w:r>
              <w:rPr>
                <w:rFonts w:ascii="Calibri" w:hAnsi="Calibri"/>
                <w:color w:val="111827"/>
                <w:sz w:val="18"/>
              </w:rPr>
              <w:t>0.90411870</w:t>
            </w:r>
          </w:p>
        </w:tc>
        <w:tc>
          <w:tcPr>
            <w:tcW w:type="dxa" w:w="1310"/>
          </w:tcPr>
          <w:p>
            <w:pPr>
              <w:spacing w:after="0"/>
              <w:jc w:val="center"/>
            </w:pPr>
            <w:r>
              <w:rPr>
                <w:rFonts w:ascii="Calibri" w:hAnsi="Calibri"/>
                <w:color w:val="111827"/>
                <w:sz w:val="18"/>
              </w:rPr>
              <w:t>-0.53652431</w:t>
            </w:r>
          </w:p>
        </w:tc>
        <w:tc>
          <w:tcPr>
            <w:tcW w:type="dxa" w:w="1310"/>
          </w:tcPr>
          <w:p>
            <w:pPr>
              <w:spacing w:after="0"/>
              <w:jc w:val="center"/>
            </w:pPr>
            <w:r>
              <w:rPr>
                <w:rFonts w:ascii="Calibri" w:hAnsi="Calibri"/>
                <w:color w:val="111827"/>
                <w:sz w:val="18"/>
              </w:rPr>
              <w:t>-0.27400557</w:t>
            </w:r>
          </w:p>
        </w:tc>
        <w:tc>
          <w:tcPr>
            <w:tcW w:type="dxa" w:w="1310"/>
          </w:tcPr>
          <w:p>
            <w:pPr>
              <w:spacing w:after="0"/>
              <w:jc w:val="left"/>
            </w:pPr>
            <w:r>
              <w:rPr>
                <w:rFonts w:ascii="Calibri" w:hAnsi="Calibri"/>
                <w:color w:val="111827"/>
                <w:sz w:val="18"/>
              </w:rPr>
              <w:t>0.32441114</w:t>
            </w:r>
          </w:p>
        </w:tc>
      </w:tr>
      <w:tr>
        <w:tc>
          <w:tcPr>
            <w:tcW w:type="dxa" w:w="1500"/>
          </w:tcPr>
          <w:p>
            <w:pPr>
              <w:spacing w:after="0"/>
              <w:jc w:val="center"/>
            </w:pPr>
            <w:r>
              <w:rPr>
                <w:rFonts w:ascii="Calibri" w:hAnsi="Calibri"/>
                <w:color w:val="111827"/>
                <w:sz w:val="18"/>
              </w:rPr>
              <w:t>Input N3</w:t>
            </w:r>
          </w:p>
        </w:tc>
        <w:tc>
          <w:tcPr>
            <w:tcW w:type="dxa" w:w="1310"/>
          </w:tcPr>
          <w:p>
            <w:pPr>
              <w:spacing w:after="0"/>
              <w:jc w:val="center"/>
            </w:pPr>
            <w:r>
              <w:rPr>
                <w:rFonts w:ascii="Calibri" w:hAnsi="Calibri"/>
                <w:color w:val="111827"/>
                <w:sz w:val="18"/>
              </w:rPr>
              <w:t>0.00839931</w:t>
            </w:r>
          </w:p>
        </w:tc>
        <w:tc>
          <w:tcPr>
            <w:tcW w:type="dxa" w:w="1310"/>
          </w:tcPr>
          <w:p>
            <w:pPr>
              <w:spacing w:after="0"/>
              <w:jc w:val="center"/>
            </w:pPr>
            <w:r>
              <w:rPr>
                <w:rFonts w:ascii="Calibri" w:hAnsi="Calibri"/>
                <w:color w:val="111827"/>
                <w:sz w:val="18"/>
              </w:rPr>
              <w:t>0.07087696</w:t>
            </w:r>
          </w:p>
        </w:tc>
        <w:tc>
          <w:tcPr>
            <w:tcW w:type="dxa" w:w="1310"/>
          </w:tcPr>
          <w:p>
            <w:pPr>
              <w:spacing w:after="0"/>
              <w:jc w:val="center"/>
            </w:pPr>
            <w:r>
              <w:rPr>
                <w:rFonts w:ascii="Calibri" w:hAnsi="Calibri"/>
                <w:color w:val="111827"/>
                <w:sz w:val="18"/>
              </w:rPr>
              <w:t>1.00809949</w:t>
            </w:r>
          </w:p>
        </w:tc>
        <w:tc>
          <w:tcPr>
            <w:tcW w:type="dxa" w:w="1310"/>
          </w:tcPr>
          <w:p>
            <w:pPr>
              <w:spacing w:after="0"/>
              <w:jc w:val="center"/>
            </w:pPr>
            <w:r>
              <w:rPr>
                <w:rFonts w:ascii="Calibri" w:hAnsi="Calibri"/>
                <w:color w:val="111827"/>
                <w:sz w:val="18"/>
              </w:rPr>
              <w:t>0.08166608</w:t>
            </w:r>
          </w:p>
        </w:tc>
        <w:tc>
          <w:tcPr>
            <w:tcW w:type="dxa" w:w="1310"/>
          </w:tcPr>
          <w:p>
            <w:pPr>
              <w:spacing w:after="0"/>
              <w:jc w:val="center"/>
            </w:pPr>
            <w:r>
              <w:rPr>
                <w:rFonts w:ascii="Calibri" w:hAnsi="Calibri"/>
                <w:color w:val="111827"/>
                <w:sz w:val="18"/>
              </w:rPr>
              <w:t>-1.01611640</w:t>
            </w:r>
          </w:p>
        </w:tc>
        <w:tc>
          <w:tcPr>
            <w:tcW w:type="dxa" w:w="1310"/>
          </w:tcPr>
          <w:p>
            <w:pPr>
              <w:spacing w:after="0"/>
              <w:jc w:val="left"/>
            </w:pPr>
            <w:r>
              <w:rPr>
                <w:rFonts w:ascii="Calibri" w:hAnsi="Calibri"/>
                <w:color w:val="111827"/>
                <w:sz w:val="18"/>
              </w:rPr>
              <w:t>0.78260791</w:t>
            </w:r>
          </w:p>
        </w:tc>
      </w:tr>
      <w:tr>
        <w:tc>
          <w:tcPr>
            <w:tcW w:type="dxa" w:w="1500"/>
          </w:tcPr>
          <w:p>
            <w:pPr>
              <w:spacing w:after="0"/>
              <w:jc w:val="center"/>
            </w:pPr>
            <w:r>
              <w:rPr>
                <w:rFonts w:ascii="Calibri" w:hAnsi="Calibri"/>
                <w:color w:val="111827"/>
                <w:sz w:val="18"/>
              </w:rPr>
              <w:t>Input N4</w:t>
            </w:r>
          </w:p>
        </w:tc>
        <w:tc>
          <w:tcPr>
            <w:tcW w:type="dxa" w:w="1310"/>
          </w:tcPr>
          <w:p>
            <w:pPr>
              <w:spacing w:after="0"/>
              <w:jc w:val="center"/>
            </w:pPr>
            <w:r>
              <w:rPr>
                <w:rFonts w:ascii="Calibri" w:hAnsi="Calibri"/>
                <w:color w:val="111827"/>
                <w:sz w:val="18"/>
              </w:rPr>
              <w:t>0.45123238</w:t>
            </w:r>
          </w:p>
        </w:tc>
        <w:tc>
          <w:tcPr>
            <w:tcW w:type="dxa" w:w="1310"/>
          </w:tcPr>
          <w:p>
            <w:pPr>
              <w:spacing w:after="0"/>
              <w:jc w:val="center"/>
            </w:pPr>
            <w:r>
              <w:rPr>
                <w:rFonts w:ascii="Calibri" w:hAnsi="Calibri"/>
                <w:color w:val="111827"/>
                <w:sz w:val="18"/>
              </w:rPr>
              <w:t>0.24621551</w:t>
            </w:r>
          </w:p>
        </w:tc>
        <w:tc>
          <w:tcPr>
            <w:tcW w:type="dxa" w:w="1310"/>
          </w:tcPr>
          <w:p>
            <w:pPr>
              <w:spacing w:after="0"/>
              <w:jc w:val="center"/>
            </w:pPr>
            <w:r>
              <w:rPr>
                <w:rFonts w:ascii="Calibri" w:hAnsi="Calibri"/>
                <w:color w:val="111827"/>
                <w:sz w:val="18"/>
              </w:rPr>
              <w:t>0.46702212</w:t>
            </w:r>
          </w:p>
        </w:tc>
        <w:tc>
          <w:tcPr>
            <w:tcW w:type="dxa" w:w="1310"/>
          </w:tcPr>
          <w:p>
            <w:pPr>
              <w:spacing w:after="0"/>
              <w:jc w:val="center"/>
            </w:pPr>
            <w:r>
              <w:rPr>
                <w:rFonts w:ascii="Calibri" w:hAnsi="Calibri"/>
                <w:color w:val="111827"/>
                <w:sz w:val="18"/>
              </w:rPr>
              <w:t>-0.06261163</w:t>
            </w:r>
          </w:p>
        </w:tc>
        <w:tc>
          <w:tcPr>
            <w:tcW w:type="dxa" w:w="1310"/>
          </w:tcPr>
          <w:p>
            <w:pPr>
              <w:spacing w:after="0"/>
              <w:jc w:val="center"/>
            </w:pPr>
            <w:r>
              <w:rPr>
                <w:rFonts w:ascii="Calibri" w:hAnsi="Calibri"/>
                <w:color w:val="111827"/>
                <w:sz w:val="18"/>
              </w:rPr>
              <w:t>0.07435449</w:t>
            </w:r>
          </w:p>
        </w:tc>
        <w:tc>
          <w:tcPr>
            <w:tcW w:type="dxa" w:w="1310"/>
          </w:tcPr>
          <w:p>
            <w:pPr>
              <w:spacing w:after="0"/>
              <w:jc w:val="left"/>
            </w:pPr>
            <w:r>
              <w:rPr>
                <w:rFonts w:ascii="Calibri" w:hAnsi="Calibri"/>
                <w:color w:val="111827"/>
                <w:sz w:val="18"/>
              </w:rPr>
              <w:t>0.09588483</w:t>
            </w:r>
          </w:p>
        </w:tc>
      </w:tr>
      <w:tr>
        <w:tc>
          <w:tcPr>
            <w:tcW w:type="dxa" w:w="1500"/>
          </w:tcPr>
          <w:p>
            <w:pPr>
              <w:spacing w:after="0"/>
              <w:jc w:val="center"/>
            </w:pPr>
            <w:r>
              <w:rPr>
                <w:rFonts w:ascii="Calibri" w:hAnsi="Calibri"/>
                <w:color w:val="111827"/>
                <w:sz w:val="18"/>
              </w:rPr>
              <w:t>Input N5</w:t>
            </w:r>
          </w:p>
        </w:tc>
        <w:tc>
          <w:tcPr>
            <w:tcW w:type="dxa" w:w="1310"/>
          </w:tcPr>
          <w:p>
            <w:pPr>
              <w:spacing w:after="0"/>
              <w:jc w:val="center"/>
            </w:pPr>
            <w:r>
              <w:rPr>
                <w:rFonts w:ascii="Calibri" w:hAnsi="Calibri"/>
                <w:color w:val="111827"/>
                <w:sz w:val="18"/>
              </w:rPr>
              <w:t>-0.96433326</w:t>
            </w:r>
          </w:p>
        </w:tc>
        <w:tc>
          <w:tcPr>
            <w:tcW w:type="dxa" w:w="1310"/>
          </w:tcPr>
          <w:p>
            <w:pPr>
              <w:spacing w:after="0"/>
              <w:jc w:val="center"/>
            </w:pPr>
            <w:r>
              <w:rPr>
                <w:rFonts w:ascii="Calibri" w:hAnsi="Calibri"/>
                <w:color w:val="111827"/>
                <w:sz w:val="18"/>
              </w:rPr>
              <w:t>-0.19520879</w:t>
            </w:r>
          </w:p>
        </w:tc>
        <w:tc>
          <w:tcPr>
            <w:tcW w:type="dxa" w:w="1310"/>
          </w:tcPr>
          <w:p>
            <w:pPr>
              <w:spacing w:after="0"/>
              <w:jc w:val="center"/>
            </w:pPr>
            <w:r>
              <w:rPr>
                <w:rFonts w:ascii="Calibri" w:hAnsi="Calibri"/>
                <w:color w:val="111827"/>
                <w:sz w:val="18"/>
              </w:rPr>
              <w:t>-0.23228061</w:t>
            </w:r>
          </w:p>
        </w:tc>
        <w:tc>
          <w:tcPr>
            <w:tcW w:type="dxa" w:w="1310"/>
          </w:tcPr>
          <w:p>
            <w:pPr>
              <w:spacing w:after="0"/>
              <w:jc w:val="center"/>
            </w:pPr>
            <w:r>
              <w:rPr>
                <w:rFonts w:ascii="Calibri" w:hAnsi="Calibri"/>
                <w:color w:val="111827"/>
                <w:sz w:val="18"/>
              </w:rPr>
              <w:t>0.93036236</w:t>
            </w:r>
          </w:p>
        </w:tc>
        <w:tc>
          <w:tcPr>
            <w:tcW w:type="dxa" w:w="1310"/>
          </w:tcPr>
          <w:p>
            <w:pPr>
              <w:spacing w:after="0"/>
              <w:jc w:val="center"/>
            </w:pPr>
            <w:r>
              <w:rPr>
                <w:rFonts w:ascii="Calibri" w:hAnsi="Calibri"/>
                <w:color w:val="111827"/>
                <w:sz w:val="18"/>
              </w:rPr>
              <w:t>-0.17756866</w:t>
            </w:r>
          </w:p>
        </w:tc>
        <w:tc>
          <w:tcPr>
            <w:tcW w:type="dxa" w:w="1310"/>
          </w:tcPr>
          <w:p>
            <w:pPr>
              <w:spacing w:after="0"/>
              <w:jc w:val="left"/>
            </w:pPr>
            <w:r>
              <w:rPr>
                <w:rFonts w:ascii="Calibri" w:hAnsi="Calibri"/>
                <w:color w:val="111827"/>
                <w:sz w:val="18"/>
              </w:rPr>
              <w:t>-0.37243171</w:t>
            </w:r>
          </w:p>
        </w:tc>
      </w:tr>
      <w:tr>
        <w:tc>
          <w:tcPr>
            <w:tcW w:type="dxa" w:w="1500"/>
          </w:tcPr>
          <w:p>
            <w:pPr>
              <w:spacing w:after="0"/>
              <w:jc w:val="center"/>
            </w:pPr>
            <w:r>
              <w:rPr>
                <w:rFonts w:ascii="Calibri" w:hAnsi="Calibri"/>
                <w:color w:val="111827"/>
                <w:sz w:val="18"/>
              </w:rPr>
              <w:t>Input N6</w:t>
            </w:r>
          </w:p>
        </w:tc>
        <w:tc>
          <w:tcPr>
            <w:tcW w:type="dxa" w:w="1310"/>
          </w:tcPr>
          <w:p>
            <w:pPr>
              <w:spacing w:after="0"/>
              <w:jc w:val="center"/>
            </w:pPr>
            <w:r>
              <w:rPr>
                <w:rFonts w:ascii="Calibri" w:hAnsi="Calibri"/>
                <w:color w:val="111827"/>
                <w:sz w:val="18"/>
              </w:rPr>
              <w:t>1.63996979</w:t>
            </w:r>
          </w:p>
        </w:tc>
        <w:tc>
          <w:tcPr>
            <w:tcW w:type="dxa" w:w="1310"/>
          </w:tcPr>
          <w:p>
            <w:pPr>
              <w:spacing w:after="0"/>
              <w:jc w:val="center"/>
            </w:pPr>
            <w:r>
              <w:rPr>
                <w:rFonts w:ascii="Calibri" w:hAnsi="Calibri"/>
                <w:color w:val="111827"/>
                <w:sz w:val="18"/>
              </w:rPr>
              <w:t>-0.46259460</w:t>
            </w:r>
          </w:p>
        </w:tc>
        <w:tc>
          <w:tcPr>
            <w:tcW w:type="dxa" w:w="1310"/>
          </w:tcPr>
          <w:p>
            <w:pPr>
              <w:spacing w:after="0"/>
              <w:jc w:val="center"/>
            </w:pPr>
            <w:r>
              <w:rPr>
                <w:rFonts w:ascii="Calibri" w:hAnsi="Calibri"/>
                <w:color w:val="111827"/>
                <w:sz w:val="18"/>
              </w:rPr>
              <w:t>-1.23252162</w:t>
            </w:r>
          </w:p>
        </w:tc>
        <w:tc>
          <w:tcPr>
            <w:tcW w:type="dxa" w:w="1310"/>
          </w:tcPr>
          <w:p>
            <w:pPr>
              <w:spacing w:after="0"/>
              <w:jc w:val="center"/>
            </w:pPr>
            <w:r>
              <w:rPr>
                <w:rFonts w:ascii="Calibri" w:hAnsi="Calibri"/>
                <w:color w:val="111827"/>
                <w:sz w:val="18"/>
              </w:rPr>
              <w:t>0.95722615</w:t>
            </w:r>
          </w:p>
        </w:tc>
        <w:tc>
          <w:tcPr>
            <w:tcW w:type="dxa" w:w="1310"/>
          </w:tcPr>
          <w:p>
            <w:pPr>
              <w:spacing w:after="0"/>
              <w:jc w:val="center"/>
            </w:pPr>
            <w:r>
              <w:rPr>
                <w:rFonts w:ascii="Calibri" w:hAnsi="Calibri"/>
                <w:color w:val="111827"/>
                <w:sz w:val="18"/>
              </w:rPr>
              <w:t>-0.19644295</w:t>
            </w:r>
          </w:p>
        </w:tc>
        <w:tc>
          <w:tcPr>
            <w:tcW w:type="dxa" w:w="1310"/>
          </w:tcPr>
          <w:p>
            <w:pPr>
              <w:spacing w:after="0"/>
              <w:jc w:val="left"/>
            </w:pPr>
            <w:r>
              <w:rPr>
                <w:rFonts w:ascii="Calibri" w:hAnsi="Calibri"/>
                <w:color w:val="111827"/>
                <w:sz w:val="18"/>
              </w:rPr>
              <w:t>0.43787136</w:t>
            </w:r>
          </w:p>
        </w:tc>
      </w:tr>
      <w:tr>
        <w:tc>
          <w:tcPr>
            <w:tcW w:type="dxa" w:w="1500"/>
          </w:tcPr>
          <w:p>
            <w:pPr>
              <w:spacing w:after="0"/>
              <w:jc w:val="center"/>
            </w:pPr>
            <w:r>
              <w:rPr>
                <w:rFonts w:ascii="Calibri" w:hAnsi="Calibri"/>
                <w:color w:val="111827"/>
                <w:sz w:val="18"/>
              </w:rPr>
              <w:t>Input N7</w:t>
            </w:r>
          </w:p>
        </w:tc>
        <w:tc>
          <w:tcPr>
            <w:tcW w:type="dxa" w:w="1310"/>
          </w:tcPr>
          <w:p>
            <w:pPr>
              <w:spacing w:after="0"/>
              <w:jc w:val="center"/>
            </w:pPr>
            <w:r>
              <w:rPr>
                <w:rFonts w:ascii="Calibri" w:hAnsi="Calibri"/>
                <w:color w:val="111827"/>
                <w:sz w:val="18"/>
              </w:rPr>
              <w:t>-1.07818894</w:t>
            </w:r>
          </w:p>
        </w:tc>
        <w:tc>
          <w:tcPr>
            <w:tcW w:type="dxa" w:w="1310"/>
          </w:tcPr>
          <w:p>
            <w:pPr>
              <w:spacing w:after="0"/>
              <w:jc w:val="center"/>
            </w:pPr>
            <w:r>
              <w:rPr>
                <w:rFonts w:ascii="Calibri" w:hAnsi="Calibri"/>
                <w:color w:val="111827"/>
                <w:sz w:val="18"/>
              </w:rPr>
              <w:t>0.06596407</w:t>
            </w:r>
          </w:p>
        </w:tc>
        <w:tc>
          <w:tcPr>
            <w:tcW w:type="dxa" w:w="1310"/>
          </w:tcPr>
          <w:p>
            <w:pPr>
              <w:spacing w:after="0"/>
              <w:jc w:val="center"/>
            </w:pPr>
            <w:r>
              <w:rPr>
                <w:rFonts w:ascii="Calibri" w:hAnsi="Calibri"/>
                <w:color w:val="111827"/>
                <w:sz w:val="18"/>
              </w:rPr>
              <w:t>-0.65336341</w:t>
            </w:r>
          </w:p>
        </w:tc>
        <w:tc>
          <w:tcPr>
            <w:tcW w:type="dxa" w:w="1310"/>
          </w:tcPr>
          <w:p>
            <w:pPr>
              <w:spacing w:after="0"/>
              <w:jc w:val="center"/>
            </w:pPr>
            <w:r>
              <w:rPr>
                <w:rFonts w:ascii="Calibri" w:hAnsi="Calibri"/>
                <w:color w:val="111827"/>
                <w:sz w:val="18"/>
              </w:rPr>
              <w:t>-0.00690185</w:t>
            </w:r>
          </w:p>
        </w:tc>
        <w:tc>
          <w:tcPr>
            <w:tcW w:type="dxa" w:w="1310"/>
          </w:tcPr>
          <w:p>
            <w:pPr>
              <w:spacing w:after="0"/>
              <w:jc w:val="center"/>
            </w:pPr>
            <w:r>
              <w:rPr>
                <w:rFonts w:ascii="Calibri" w:hAnsi="Calibri"/>
                <w:color w:val="111827"/>
                <w:sz w:val="18"/>
              </w:rPr>
              <w:t>-0.22191670</w:t>
            </w:r>
          </w:p>
        </w:tc>
        <w:tc>
          <w:tcPr>
            <w:tcW w:type="dxa" w:w="1310"/>
          </w:tcPr>
          <w:p>
            <w:pPr>
              <w:spacing w:after="0"/>
              <w:jc w:val="left"/>
            </w:pPr>
            <w:r>
              <w:rPr>
                <w:rFonts w:ascii="Calibri" w:hAnsi="Calibri"/>
                <w:color w:val="111827"/>
                <w:sz w:val="18"/>
              </w:rPr>
              <w:t>-0.01273650</w:t>
            </w:r>
          </w:p>
        </w:tc>
      </w:tr>
      <w:tr>
        <w:tc>
          <w:tcPr>
            <w:tcW w:type="dxa" w:w="1500"/>
          </w:tcPr>
          <w:p>
            <w:pPr>
              <w:spacing w:after="0"/>
              <w:jc w:val="center"/>
            </w:pPr>
            <w:r>
              <w:rPr>
                <w:rFonts w:ascii="Calibri" w:hAnsi="Calibri"/>
                <w:color w:val="111827"/>
                <w:sz w:val="18"/>
              </w:rPr>
              <w:t>Input N8</w:t>
            </w:r>
          </w:p>
        </w:tc>
        <w:tc>
          <w:tcPr>
            <w:tcW w:type="dxa" w:w="1310"/>
          </w:tcPr>
          <w:p>
            <w:pPr>
              <w:spacing w:after="0"/>
              <w:jc w:val="center"/>
            </w:pPr>
            <w:r>
              <w:rPr>
                <w:rFonts w:ascii="Calibri" w:hAnsi="Calibri"/>
                <w:color w:val="111827"/>
                <w:sz w:val="18"/>
              </w:rPr>
              <w:t>0.84275558</w:t>
            </w:r>
          </w:p>
        </w:tc>
        <w:tc>
          <w:tcPr>
            <w:tcW w:type="dxa" w:w="1310"/>
          </w:tcPr>
          <w:p>
            <w:pPr>
              <w:spacing w:after="0"/>
              <w:jc w:val="center"/>
            </w:pPr>
            <w:r>
              <w:rPr>
                <w:rFonts w:ascii="Calibri" w:hAnsi="Calibri"/>
                <w:color w:val="111827"/>
                <w:sz w:val="18"/>
              </w:rPr>
              <w:t>0.52066923</w:t>
            </w:r>
          </w:p>
        </w:tc>
        <w:tc>
          <w:tcPr>
            <w:tcW w:type="dxa" w:w="1310"/>
          </w:tcPr>
          <w:p>
            <w:pPr>
              <w:spacing w:after="0"/>
              <w:jc w:val="center"/>
            </w:pPr>
            <w:r>
              <w:rPr>
                <w:rFonts w:ascii="Calibri" w:hAnsi="Calibri"/>
                <w:color w:val="111827"/>
                <w:sz w:val="18"/>
              </w:rPr>
              <w:t>-0.49216225</w:t>
            </w:r>
          </w:p>
        </w:tc>
        <w:tc>
          <w:tcPr>
            <w:tcW w:type="dxa" w:w="1310"/>
          </w:tcPr>
          <w:p>
            <w:pPr>
              <w:spacing w:after="0"/>
              <w:jc w:val="center"/>
            </w:pPr>
            <w:r>
              <w:rPr>
                <w:rFonts w:ascii="Calibri" w:hAnsi="Calibri"/>
                <w:color w:val="111827"/>
                <w:sz w:val="18"/>
              </w:rPr>
              <w:t>0.29269691</w:t>
            </w:r>
          </w:p>
        </w:tc>
        <w:tc>
          <w:tcPr>
            <w:tcW w:type="dxa" w:w="1310"/>
          </w:tcPr>
          <w:p>
            <w:pPr>
              <w:spacing w:after="0"/>
              <w:jc w:val="center"/>
            </w:pPr>
            <w:r>
              <w:rPr>
                <w:rFonts w:ascii="Calibri" w:hAnsi="Calibri"/>
                <w:color w:val="111827"/>
                <w:sz w:val="18"/>
              </w:rPr>
              <w:t>-0.26475814</w:t>
            </w:r>
          </w:p>
        </w:tc>
        <w:tc>
          <w:tcPr>
            <w:tcW w:type="dxa" w:w="1310"/>
          </w:tcPr>
          <w:p>
            <w:pPr>
              <w:spacing w:after="0"/>
              <w:jc w:val="left"/>
            </w:pPr>
            <w:r>
              <w:rPr>
                <w:rFonts w:ascii="Calibri" w:hAnsi="Calibri"/>
                <w:color w:val="111827"/>
                <w:sz w:val="18"/>
              </w:rPr>
              <w:t>-0.17293531</w:t>
            </w:r>
          </w:p>
        </w:tc>
      </w:tr>
      <w:tr>
        <w:tc>
          <w:tcPr>
            <w:tcW w:type="dxa" w:w="1500"/>
          </w:tcPr>
          <w:p>
            <w:pPr>
              <w:spacing w:after="0"/>
              <w:jc w:val="center"/>
            </w:pPr>
            <w:r>
              <w:rPr>
                <w:rFonts w:ascii="Calibri" w:hAnsi="Calibri"/>
                <w:color w:val="111827"/>
                <w:sz w:val="18"/>
              </w:rPr>
              <w:t>Input N9</w:t>
            </w:r>
          </w:p>
        </w:tc>
        <w:tc>
          <w:tcPr>
            <w:tcW w:type="dxa" w:w="1310"/>
          </w:tcPr>
          <w:p>
            <w:pPr>
              <w:spacing w:after="0"/>
              <w:jc w:val="center"/>
            </w:pPr>
            <w:r>
              <w:rPr>
                <w:rFonts w:ascii="Calibri" w:hAnsi="Calibri"/>
                <w:color w:val="111827"/>
                <w:sz w:val="18"/>
              </w:rPr>
              <w:t>-0.41233179</w:t>
            </w:r>
          </w:p>
        </w:tc>
        <w:tc>
          <w:tcPr>
            <w:tcW w:type="dxa" w:w="1310"/>
          </w:tcPr>
          <w:p>
            <w:pPr>
              <w:spacing w:after="0"/>
              <w:jc w:val="center"/>
            </w:pPr>
            <w:r>
              <w:rPr>
                <w:rFonts w:ascii="Calibri" w:hAnsi="Calibri"/>
                <w:color w:val="111827"/>
                <w:sz w:val="18"/>
              </w:rPr>
              <w:t>-1.21723382</w:t>
            </w:r>
          </w:p>
        </w:tc>
        <w:tc>
          <w:tcPr>
            <w:tcW w:type="dxa" w:w="1310"/>
          </w:tcPr>
          <w:p>
            <w:pPr>
              <w:spacing w:after="0"/>
              <w:jc w:val="center"/>
            </w:pPr>
            <w:r>
              <w:rPr>
                <w:rFonts w:ascii="Calibri" w:hAnsi="Calibri"/>
                <w:color w:val="111827"/>
                <w:sz w:val="18"/>
              </w:rPr>
              <w:t>-0.20548696</w:t>
            </w:r>
          </w:p>
        </w:tc>
        <w:tc>
          <w:tcPr>
            <w:tcW w:type="dxa" w:w="1310"/>
          </w:tcPr>
          <w:p>
            <w:pPr>
              <w:spacing w:after="0"/>
              <w:jc w:val="center"/>
            </w:pPr>
            <w:r>
              <w:rPr>
                <w:rFonts w:ascii="Calibri" w:hAnsi="Calibri"/>
                <w:color w:val="111827"/>
                <w:sz w:val="18"/>
              </w:rPr>
              <w:t>-0.33399594</w:t>
            </w:r>
          </w:p>
        </w:tc>
        <w:tc>
          <w:tcPr>
            <w:tcW w:type="dxa" w:w="1310"/>
          </w:tcPr>
          <w:p>
            <w:pPr>
              <w:spacing w:after="0"/>
              <w:jc w:val="center"/>
            </w:pPr>
            <w:r>
              <w:rPr>
                <w:rFonts w:ascii="Calibri" w:hAnsi="Calibri"/>
                <w:color w:val="111827"/>
                <w:sz w:val="18"/>
              </w:rPr>
              <w:t>0.01731332</w:t>
            </w:r>
          </w:p>
        </w:tc>
        <w:tc>
          <w:tcPr>
            <w:tcW w:type="dxa" w:w="1310"/>
          </w:tcPr>
          <w:p>
            <w:pPr>
              <w:spacing w:after="0"/>
              <w:jc w:val="left"/>
            </w:pPr>
            <w:r>
              <w:rPr>
                <w:rFonts w:ascii="Calibri" w:hAnsi="Calibri"/>
                <w:color w:val="111827"/>
                <w:sz w:val="18"/>
              </w:rPr>
              <w:t>0.07784390</w:t>
            </w:r>
          </w:p>
        </w:tc>
      </w:tr>
      <w:tr>
        <w:tc>
          <w:tcPr>
            <w:tcW w:type="dxa" w:w="1500"/>
          </w:tcPr>
          <w:p>
            <w:pPr>
              <w:spacing w:after="0"/>
              <w:jc w:val="center"/>
            </w:pPr>
            <w:r>
              <w:rPr>
                <w:rFonts w:ascii="Calibri" w:hAnsi="Calibri"/>
                <w:color w:val="111827"/>
                <w:sz w:val="18"/>
              </w:rPr>
              <w:t>Input N10</w:t>
            </w:r>
          </w:p>
        </w:tc>
        <w:tc>
          <w:tcPr>
            <w:tcW w:type="dxa" w:w="1310"/>
          </w:tcPr>
          <w:p>
            <w:pPr>
              <w:spacing w:after="0"/>
              <w:jc w:val="center"/>
            </w:pPr>
            <w:r>
              <w:rPr>
                <w:rFonts w:ascii="Calibri" w:hAnsi="Calibri"/>
                <w:color w:val="111827"/>
                <w:sz w:val="18"/>
              </w:rPr>
              <w:t>-0.29324661</w:t>
            </w:r>
          </w:p>
        </w:tc>
        <w:tc>
          <w:tcPr>
            <w:tcW w:type="dxa" w:w="1310"/>
          </w:tcPr>
          <w:p>
            <w:pPr>
              <w:spacing w:after="0"/>
              <w:jc w:val="center"/>
            </w:pPr>
            <w:r>
              <w:rPr>
                <w:rFonts w:ascii="Calibri" w:hAnsi="Calibri"/>
                <w:color w:val="111827"/>
                <w:sz w:val="18"/>
              </w:rPr>
              <w:t>1.03978757</w:t>
            </w:r>
          </w:p>
        </w:tc>
        <w:tc>
          <w:tcPr>
            <w:tcW w:type="dxa" w:w="1310"/>
          </w:tcPr>
          <w:p>
            <w:pPr>
              <w:spacing w:after="0"/>
              <w:jc w:val="center"/>
            </w:pPr>
            <w:r>
              <w:rPr>
                <w:rFonts w:ascii="Calibri" w:hAnsi="Calibri"/>
                <w:color w:val="111827"/>
                <w:sz w:val="18"/>
              </w:rPr>
              <w:t>0.13387757</w:t>
            </w:r>
          </w:p>
        </w:tc>
        <w:tc>
          <w:tcPr>
            <w:tcW w:type="dxa" w:w="1310"/>
          </w:tcPr>
          <w:p>
            <w:pPr>
              <w:spacing w:after="0"/>
              <w:jc w:val="center"/>
            </w:pPr>
            <w:r>
              <w:rPr>
                <w:rFonts w:ascii="Calibri" w:hAnsi="Calibri"/>
                <w:color w:val="111827"/>
                <w:sz w:val="18"/>
              </w:rPr>
              <w:t>0.85732968</w:t>
            </w:r>
          </w:p>
        </w:tc>
        <w:tc>
          <w:tcPr>
            <w:tcW w:type="dxa" w:w="1310"/>
          </w:tcPr>
          <w:p>
            <w:pPr>
              <w:spacing w:after="0"/>
              <w:jc w:val="center"/>
            </w:pPr>
            <w:r>
              <w:rPr>
                <w:rFonts w:ascii="Calibri" w:hAnsi="Calibri"/>
                <w:color w:val="111827"/>
                <w:sz w:val="18"/>
              </w:rPr>
              <w:t>0.45768391</w:t>
            </w:r>
          </w:p>
        </w:tc>
        <w:tc>
          <w:tcPr>
            <w:tcW w:type="dxa" w:w="1310"/>
          </w:tcPr>
          <w:p>
            <w:pPr>
              <w:spacing w:after="0"/>
              <w:jc w:val="left"/>
            </w:pPr>
            <w:r>
              <w:rPr>
                <w:rFonts w:ascii="Calibri" w:hAnsi="Calibri"/>
                <w:color w:val="111827"/>
                <w:sz w:val="18"/>
              </w:rPr>
              <w:t>0.19385297</w:t>
            </w:r>
          </w:p>
        </w:tc>
      </w:tr>
      <w:tr>
        <w:tc>
          <w:tcPr>
            <w:tcW w:type="dxa" w:w="1500"/>
          </w:tcPr>
          <w:p>
            <w:pPr>
              <w:spacing w:after="0"/>
              <w:jc w:val="center"/>
            </w:pPr>
            <w:r>
              <w:rPr>
                <w:rFonts w:ascii="Calibri" w:hAnsi="Calibri"/>
                <w:color w:val="111827"/>
                <w:sz w:val="18"/>
              </w:rPr>
              <w:t>Bias</w:t>
            </w:r>
          </w:p>
        </w:tc>
        <w:tc>
          <w:tcPr>
            <w:tcW w:type="dxa" w:w="1310"/>
          </w:tcPr>
          <w:p>
            <w:pPr>
              <w:spacing w:after="0"/>
              <w:jc w:val="center"/>
            </w:pPr>
            <w:r>
              <w:rPr>
                <w:rFonts w:ascii="Calibri" w:hAnsi="Calibri"/>
                <w:color w:val="111827"/>
                <w:sz w:val="18"/>
              </w:rPr>
              <w:t>-0.22330510</w:t>
            </w:r>
          </w:p>
        </w:tc>
        <w:tc>
          <w:tcPr>
            <w:tcW w:type="dxa" w:w="1310"/>
          </w:tcPr>
          <w:p>
            <w:pPr>
              <w:spacing w:after="0"/>
              <w:jc w:val="center"/>
            </w:pPr>
            <w:r>
              <w:rPr>
                <w:rFonts w:ascii="Calibri" w:hAnsi="Calibri"/>
                <w:color w:val="111827"/>
                <w:sz w:val="18"/>
              </w:rPr>
              <w:t>-0.08298297</w:t>
            </w:r>
          </w:p>
        </w:tc>
        <w:tc>
          <w:tcPr>
            <w:tcW w:type="dxa" w:w="1310"/>
          </w:tcPr>
          <w:p>
            <w:pPr>
              <w:spacing w:after="0"/>
              <w:jc w:val="center"/>
            </w:pPr>
            <w:r>
              <w:rPr>
                <w:rFonts w:ascii="Calibri" w:hAnsi="Calibri"/>
                <w:color w:val="111827"/>
                <w:sz w:val="18"/>
              </w:rPr>
              <w:t>0.48887013</w:t>
            </w:r>
          </w:p>
        </w:tc>
        <w:tc>
          <w:tcPr>
            <w:tcW w:type="dxa" w:w="1310"/>
          </w:tcPr>
          <w:p>
            <w:pPr>
              <w:spacing w:after="0"/>
              <w:jc w:val="center"/>
            </w:pPr>
            <w:r>
              <w:rPr>
                <w:rFonts w:ascii="Calibri" w:hAnsi="Calibri"/>
                <w:color w:val="111827"/>
                <w:sz w:val="18"/>
              </w:rPr>
              <w:t>0.18079207</w:t>
            </w:r>
          </w:p>
        </w:tc>
        <w:tc>
          <w:tcPr>
            <w:tcW w:type="dxa" w:w="1310"/>
          </w:tcPr>
          <w:p>
            <w:pPr>
              <w:spacing w:after="0"/>
              <w:jc w:val="center"/>
            </w:pPr>
            <w:r>
              <w:rPr>
                <w:rFonts w:ascii="Calibri" w:hAnsi="Calibri"/>
                <w:color w:val="111827"/>
                <w:sz w:val="18"/>
              </w:rPr>
              <w:t>0.07572060</w:t>
            </w:r>
          </w:p>
        </w:tc>
        <w:tc>
          <w:tcPr>
            <w:tcW w:type="dxa" w:w="1310"/>
          </w:tcPr>
          <w:p>
            <w:pPr>
              <w:spacing w:after="0"/>
              <w:jc w:val="left"/>
            </w:pPr>
            <w:r>
              <w:rPr>
                <w:rFonts w:ascii="Calibri" w:hAnsi="Calibri"/>
                <w:color w:val="111827"/>
                <w:sz w:val="18"/>
              </w:rPr>
              <w:t>0.22179824</w:t>
            </w:r>
          </w:p>
        </w:tc>
      </w:tr>
    </w:tbl>
    <w:p>
      <w:pPr>
        <w:spacing w:after="40"/>
      </w:pPr>
    </w:p>
    <w:p>
      <w:pPr>
        <w:pStyle w:val="Heading3"/>
        <w:keepNext/>
      </w:pPr>
      <w:r>
        <w:t>Layer 3</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80" w:type="dxa"/>
              <w:start w:w="120" w:type="dxa"/>
              <w:bottom w:w="80" w:type="dxa"/>
              <w:end w:w="120" w:type="dxa"/>
            </w:tcMar>
            <w:vAlign w:val="center"/>
            <w:shd w:fill="F4F6F9"/>
          </w:tcPr>
          <w:p>
            <w:pPr>
              <w:spacing w:after="0"/>
              <w:jc w:val="center"/>
            </w:pPr>
            <w:r>
              <w:rPr>
                <w:rFonts w:ascii="Calibri" w:hAnsi="Calibri"/>
                <w:b/>
                <w:color w:val="1F4D78"/>
                <w:sz w:val="18"/>
              </w:rPr>
              <w:t>From / bias</w:t>
            </w:r>
          </w:p>
        </w:tc>
        <w:tc>
          <w:tcPr>
            <w:tcW w:type="dxa" w:w="7860"/>
            <w:tcMar>
              <w:top w:w="80" w:type="dxa"/>
              <w:start w:w="120" w:type="dxa"/>
              <w:bottom w:w="80" w:type="dxa"/>
              <w:end w:w="120" w:type="dxa"/>
            </w:tcMar>
            <w:vAlign w:val="center"/>
            <w:shd w:fill="F4F6F9"/>
          </w:tcPr>
          <w:p>
            <w:pPr>
              <w:spacing w:after="0"/>
              <w:jc w:val="center"/>
            </w:pPr>
            <w:r>
              <w:rPr>
                <w:rFonts w:ascii="Calibri" w:hAnsi="Calibri"/>
                <w:b/>
                <w:color w:val="1F4D78"/>
                <w:sz w:val="18"/>
              </w:rPr>
              <w:t>N1</w:t>
            </w:r>
          </w:p>
        </w:tc>
      </w:tr>
      <w:tr>
        <w:tc>
          <w:tcPr>
            <w:tcW w:type="dxa" w:w="1500"/>
          </w:tcPr>
          <w:p>
            <w:pPr>
              <w:spacing w:after="0"/>
              <w:jc w:val="center"/>
            </w:pPr>
            <w:r>
              <w:rPr>
                <w:rFonts w:ascii="Calibri" w:hAnsi="Calibri"/>
                <w:color w:val="111827"/>
                <w:sz w:val="18"/>
              </w:rPr>
              <w:t>Input N1</w:t>
            </w:r>
          </w:p>
        </w:tc>
        <w:tc>
          <w:tcPr>
            <w:tcW w:type="dxa" w:w="7860"/>
          </w:tcPr>
          <w:p>
            <w:pPr>
              <w:spacing w:after="0"/>
              <w:jc w:val="left"/>
            </w:pPr>
            <w:r>
              <w:rPr>
                <w:rFonts w:ascii="Calibri" w:hAnsi="Calibri"/>
                <w:color w:val="111827"/>
                <w:sz w:val="18"/>
              </w:rPr>
              <w:t>-0.15303085</w:t>
            </w:r>
          </w:p>
        </w:tc>
      </w:tr>
      <w:tr>
        <w:tc>
          <w:tcPr>
            <w:tcW w:type="dxa" w:w="1500"/>
          </w:tcPr>
          <w:p>
            <w:pPr>
              <w:spacing w:after="0"/>
              <w:jc w:val="center"/>
            </w:pPr>
            <w:r>
              <w:rPr>
                <w:rFonts w:ascii="Calibri" w:hAnsi="Calibri"/>
                <w:color w:val="111827"/>
                <w:sz w:val="18"/>
              </w:rPr>
              <w:t>Input N2</w:t>
            </w:r>
          </w:p>
        </w:tc>
        <w:tc>
          <w:tcPr>
            <w:tcW w:type="dxa" w:w="7860"/>
          </w:tcPr>
          <w:p>
            <w:pPr>
              <w:spacing w:after="0"/>
              <w:jc w:val="left"/>
            </w:pPr>
            <w:r>
              <w:rPr>
                <w:rFonts w:ascii="Calibri" w:hAnsi="Calibri"/>
                <w:color w:val="111827"/>
                <w:sz w:val="18"/>
              </w:rPr>
              <w:t>-0.10181953</w:t>
            </w:r>
          </w:p>
        </w:tc>
      </w:tr>
      <w:tr>
        <w:tc>
          <w:tcPr>
            <w:tcW w:type="dxa" w:w="1500"/>
          </w:tcPr>
          <w:p>
            <w:pPr>
              <w:spacing w:after="0"/>
              <w:jc w:val="center"/>
            </w:pPr>
            <w:r>
              <w:rPr>
                <w:rFonts w:ascii="Calibri" w:hAnsi="Calibri"/>
                <w:color w:val="111827"/>
                <w:sz w:val="18"/>
              </w:rPr>
              <w:t>Input N3</w:t>
            </w:r>
          </w:p>
        </w:tc>
        <w:tc>
          <w:tcPr>
            <w:tcW w:type="dxa" w:w="7860"/>
          </w:tcPr>
          <w:p>
            <w:pPr>
              <w:spacing w:after="0"/>
              <w:jc w:val="left"/>
            </w:pPr>
            <w:r>
              <w:rPr>
                <w:rFonts w:ascii="Calibri" w:hAnsi="Calibri"/>
                <w:color w:val="111827"/>
                <w:sz w:val="18"/>
              </w:rPr>
              <w:t>0.38096908</w:t>
            </w:r>
          </w:p>
        </w:tc>
      </w:tr>
      <w:tr>
        <w:tc>
          <w:tcPr>
            <w:tcW w:type="dxa" w:w="1500"/>
          </w:tcPr>
          <w:p>
            <w:pPr>
              <w:spacing w:after="0"/>
              <w:jc w:val="center"/>
            </w:pPr>
            <w:r>
              <w:rPr>
                <w:rFonts w:ascii="Calibri" w:hAnsi="Calibri"/>
                <w:color w:val="111827"/>
                <w:sz w:val="18"/>
              </w:rPr>
              <w:t>Input N4</w:t>
            </w:r>
          </w:p>
        </w:tc>
        <w:tc>
          <w:tcPr>
            <w:tcW w:type="dxa" w:w="7860"/>
          </w:tcPr>
          <w:p>
            <w:pPr>
              <w:spacing w:after="0"/>
              <w:jc w:val="left"/>
            </w:pPr>
            <w:r>
              <w:rPr>
                <w:rFonts w:ascii="Calibri" w:hAnsi="Calibri"/>
                <w:color w:val="111827"/>
                <w:sz w:val="18"/>
              </w:rPr>
              <w:t>0.48826838</w:t>
            </w:r>
          </w:p>
        </w:tc>
      </w:tr>
      <w:tr>
        <w:tc>
          <w:tcPr>
            <w:tcW w:type="dxa" w:w="1500"/>
          </w:tcPr>
          <w:p>
            <w:pPr>
              <w:spacing w:after="0"/>
              <w:jc w:val="center"/>
            </w:pPr>
            <w:r>
              <w:rPr>
                <w:rFonts w:ascii="Calibri" w:hAnsi="Calibri"/>
                <w:color w:val="111827"/>
                <w:sz w:val="18"/>
              </w:rPr>
              <w:t>Input N5</w:t>
            </w:r>
          </w:p>
        </w:tc>
        <w:tc>
          <w:tcPr>
            <w:tcW w:type="dxa" w:w="7860"/>
          </w:tcPr>
          <w:p>
            <w:pPr>
              <w:spacing w:after="0"/>
              <w:jc w:val="left"/>
            </w:pPr>
            <w:r>
              <w:rPr>
                <w:rFonts w:ascii="Calibri" w:hAnsi="Calibri"/>
                <w:color w:val="111827"/>
                <w:sz w:val="18"/>
              </w:rPr>
              <w:t>-0.00696320</w:t>
            </w:r>
          </w:p>
        </w:tc>
      </w:tr>
      <w:tr>
        <w:tc>
          <w:tcPr>
            <w:tcW w:type="dxa" w:w="1500"/>
          </w:tcPr>
          <w:p>
            <w:pPr>
              <w:spacing w:after="0"/>
              <w:jc w:val="center"/>
            </w:pPr>
            <w:r>
              <w:rPr>
                <w:rFonts w:ascii="Calibri" w:hAnsi="Calibri"/>
                <w:color w:val="111827"/>
                <w:sz w:val="18"/>
              </w:rPr>
              <w:t>Input N6</w:t>
            </w:r>
          </w:p>
        </w:tc>
        <w:tc>
          <w:tcPr>
            <w:tcW w:type="dxa" w:w="7860"/>
          </w:tcPr>
          <w:p>
            <w:pPr>
              <w:spacing w:after="0"/>
              <w:jc w:val="left"/>
            </w:pPr>
            <w:r>
              <w:rPr>
                <w:rFonts w:ascii="Calibri" w:hAnsi="Calibri"/>
                <w:color w:val="111827"/>
                <w:sz w:val="18"/>
              </w:rPr>
              <w:t>0.31246800</w:t>
            </w:r>
          </w:p>
        </w:tc>
      </w:tr>
      <w:tr>
        <w:tc>
          <w:tcPr>
            <w:tcW w:type="dxa" w:w="1500"/>
          </w:tcPr>
          <w:p>
            <w:pPr>
              <w:spacing w:after="0"/>
              <w:jc w:val="center"/>
            </w:pPr>
            <w:r>
              <w:rPr>
                <w:rFonts w:ascii="Calibri" w:hAnsi="Calibri"/>
                <w:color w:val="111827"/>
                <w:sz w:val="18"/>
              </w:rPr>
              <w:t>Bias</w:t>
            </w:r>
          </w:p>
        </w:tc>
        <w:tc>
          <w:tcPr>
            <w:tcW w:type="dxa" w:w="7860"/>
          </w:tcPr>
          <w:p>
            <w:pPr>
              <w:spacing w:after="0"/>
              <w:jc w:val="left"/>
            </w:pPr>
            <w:r>
              <w:rPr>
                <w:rFonts w:ascii="Calibri" w:hAnsi="Calibri"/>
                <w:color w:val="111827"/>
                <w:sz w:val="18"/>
              </w:rPr>
              <w:t>0.29403004</w:t>
            </w:r>
          </w:p>
        </w:tc>
      </w:tr>
    </w:tbl>
    <w:p>
      <w:pPr>
        <w:spacing w:after="40"/>
      </w:pPr>
    </w:p>
    <w:p>
      <w:r>
        <w:br w:type="page"/>
      </w:r>
    </w:p>
    <w:p>
      <w:pPr>
        <w:pStyle w:val="Heading1"/>
        <w:keepNext/>
      </w:pPr>
      <w:r>
        <w:t>References</w:t>
      </w:r>
    </w:p>
    <w:p>
      <w:pPr>
        <w:spacing w:after="140" w:line="276" w:lineRule="auto"/>
        <w:ind w:left="317" w:hanging="317"/>
      </w:pPr>
      <w:r>
        <w:rPr>
          <w:rFonts w:ascii="Calibri" w:hAnsi="Calibri"/>
          <w:color w:val="111827"/>
          <w:sz w:val="18"/>
        </w:rPr>
        <w:t>[1] Lo, M.; Karuppanan, S.; Ovinis, M. Failure Pressure Prediction of a Corroded Pipeline with Longitudinally Interacting Corrosion Defects Subjected to Combined Loadings Using FEM and ANN. Journal of Marine Science and Engineering 9, 281 (2021). https://doi.org/10.3390/jmse9030281</w:t>
      </w:r>
    </w:p>
    <w:p>
      <w:pPr>
        <w:spacing w:after="140" w:line="276" w:lineRule="auto"/>
        <w:ind w:left="317" w:hanging="317"/>
      </w:pPr>
      <w:r>
        <w:rPr>
          <w:rFonts w:ascii="Calibri" w:hAnsi="Calibri"/>
          <w:color w:val="111827"/>
          <w:sz w:val="18"/>
        </w:rPr>
        <w:t>[2] Vijaya Kumar, S.D.; Karuppanan, S.; Ovinis, M. Artificial Neural Network-Based Failure Pressure Prediction of API 5L X80 Pipeline with Circumferentially Aligned Interacting Corrosion Defects Subjected to Combined Loadings. Materials 15, 2259 (2022). https://doi.org/10.3390/ma15062259 ; https://pmc.ncbi.nlm.nih.gov/articles/PMC8953741/</w:t>
      </w:r>
    </w:p>
    <w:p>
      <w:pPr>
        <w:spacing w:after="140" w:line="276" w:lineRule="auto"/>
        <w:ind w:left="317" w:hanging="317"/>
      </w:pPr>
      <w:r>
        <w:rPr>
          <w:rFonts w:ascii="Calibri" w:hAnsi="Calibri"/>
          <w:color w:val="111827"/>
          <w:sz w:val="18"/>
        </w:rPr>
        <w:t>[3] Kumar, S.D.V.; Karuppanan, S.; Ovinis, M. Failure Pressure Prediction of High Toughness Pipeline with a Single Corrosion Defect Subjected to Combined Loadings Using ANN. Metals 11, 373 (2021). https://doi.org/10.3390/met11020373</w:t>
      </w:r>
    </w:p>
    <w:p>
      <w:pPr>
        <w:spacing w:after="140" w:line="276" w:lineRule="auto"/>
        <w:ind w:left="317" w:hanging="317"/>
      </w:pPr>
      <w:r>
        <w:rPr>
          <w:rFonts w:ascii="Calibri" w:hAnsi="Calibri"/>
          <w:color w:val="111827"/>
          <w:sz w:val="18"/>
        </w:rPr>
        <w:t>[4] Lo, M.; Karuppanan, S.; Ovinis, M. A Review of Finite Element Analysis and Artificial Neural Networks as Failure Pressure Prediction Tools for Corroded Pipelines. Materials 14 (2021). https://pmc.ncbi.nlm.nih.gov/articles/PMC8538846/</w:t>
      </w:r>
    </w:p>
    <w:p>
      <w:pPr>
        <w:spacing w:after="140" w:line="276" w:lineRule="auto"/>
        <w:ind w:left="317" w:hanging="317"/>
      </w:pPr>
      <w:r>
        <w:rPr>
          <w:rFonts w:ascii="Calibri" w:hAnsi="Calibri"/>
          <w:color w:val="111827"/>
          <w:sz w:val="18"/>
        </w:rPr>
        <w:t>[5] Oh, D.; et al. Burst Pressure Prediction of API 5L X-Grade Dented Pipelines Using a Deep Neural Network. Journal of Marine Science and Engineering 8, 766 (2020). https://doi.org/10.3390/jmse8100766</w:t>
      </w:r>
    </w:p>
    <w:p>
      <w:pPr>
        <w:spacing w:after="140" w:line="276" w:lineRule="auto"/>
        <w:ind w:left="317" w:hanging="317"/>
      </w:pPr>
      <w:r>
        <w:rPr>
          <w:rFonts w:ascii="Calibri" w:hAnsi="Calibri"/>
          <w:color w:val="111827"/>
          <w:sz w:val="18"/>
        </w:rPr>
        <w:t>[6] Okodi, A.; Li, Y.; Cheng, R.; Kainat, M.; Yoosef-Ghodsi, N.; Adeeb, S. Crack Propagation and Burst Pressure of Pipeline with Restrained and Unrestrained Concentric Dent-Crack Defects Using XFEM. Applied Sciences 10, 7554 (2020). https://doi.org/10.3390/app10217554</w:t>
      </w:r>
    </w:p>
    <w:p>
      <w:pPr>
        <w:spacing w:after="140" w:line="276" w:lineRule="auto"/>
        <w:ind w:left="317" w:hanging="317"/>
      </w:pPr>
      <w:r>
        <w:rPr>
          <w:rFonts w:ascii="Calibri" w:hAnsi="Calibri"/>
          <w:color w:val="111827"/>
          <w:sz w:val="18"/>
        </w:rPr>
        <w:t>[7] Kiefner, J.F.; Vieth, P.H.; Roytman, I. Continued Validation of RSTRENG, Final Report (1996). https://www.osti.gov/biblio/441672</w:t>
      </w:r>
    </w:p>
    <w:p>
      <w:pPr>
        <w:spacing w:after="140" w:line="276" w:lineRule="auto"/>
        <w:ind w:left="317" w:hanging="317"/>
      </w:pPr>
      <w:r>
        <w:rPr>
          <w:rFonts w:ascii="Calibri" w:hAnsi="Calibri"/>
          <w:color w:val="111827"/>
          <w:sz w:val="18"/>
        </w:rPr>
        <w:t>[8] ASME. ASME B31G, Manual for Determining the Remaining Strength of Corroded Pipelines. https://www.asme.org/codes-standards/find-codes-standards/b31g-manual-determining-remaining-strength-corroded-pipelines</w:t>
      </w:r>
    </w:p>
    <w:p>
      <w:pPr>
        <w:spacing w:after="140" w:line="276" w:lineRule="auto"/>
        <w:ind w:left="317" w:hanging="317"/>
      </w:pPr>
      <w:r>
        <w:rPr>
          <w:rFonts w:ascii="Calibri" w:hAnsi="Calibri"/>
          <w:color w:val="111827"/>
          <w:sz w:val="18"/>
        </w:rPr>
        <w:t>[9] American Petroleum Institute. API Recommended Practice 1183, Assessment and Management of Dents in Pipelines. https://www.api.org/products-and-services/standards/important-standards-announcements/rp1183</w:t>
      </w:r>
    </w:p>
    <w:p>
      <w:pPr>
        <w:spacing w:after="140" w:line="276" w:lineRule="auto"/>
        <w:ind w:left="317" w:hanging="317"/>
      </w:pPr>
      <w:r>
        <w:rPr>
          <w:rFonts w:ascii="Calibri" w:hAnsi="Calibri"/>
          <w:color w:val="111827"/>
          <w:sz w:val="18"/>
        </w:rPr>
        <w:t>[10] ASME. ASME B31.8, Gas Transmission and Distribution Piping Systems. https://www.asme.org/codes-standards/find-codes-standards/b31-8-gas-transmission-distribution-piping-systems</w:t>
      </w:r>
    </w:p>
    <w:p>
      <w:pPr>
        <w:spacing w:after="140" w:line="276" w:lineRule="auto"/>
        <w:ind w:left="317" w:hanging="317"/>
      </w:pPr>
      <w:r>
        <w:rPr>
          <w:rFonts w:ascii="Calibri" w:hAnsi="Calibri"/>
          <w:color w:val="111827"/>
          <w:sz w:val="18"/>
        </w:rPr>
        <w:t>[11] Paris, P.; Erdogan, F. A Critical Analysis of Crack Propagation Laws. Journal of Basic Engineering 85(4), 528-533 (1963). https://doi.org/10.1115/1.3656900</w:t>
      </w:r>
    </w:p>
    <w:p>
      <w:pPr>
        <w:spacing w:after="140" w:line="276" w:lineRule="auto"/>
        <w:ind w:left="317" w:hanging="317"/>
      </w:pPr>
      <w:r>
        <w:rPr>
          <w:rFonts w:ascii="Calibri" w:hAnsi="Calibri"/>
          <w:color w:val="111827"/>
          <w:sz w:val="18"/>
        </w:rPr>
        <w:t>[12] Zhu, X.-K. Burst Pressure Models and Validations for Thick-Walled Pipelines Containing Corrosion Defects. Journal of Pipeline Science and Engineering (2025). https://doi.org/10.1016/j.jpse.2025.100301 ; accepted manuscript: https://www.osti.gov/pages/biblio/3017239</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color w:val="6B7280"/>
        <w:sz w:val="16"/>
      </w:rPr>
      <w:t xml:space="preserve">Engineering methodology and implementation basis   |   June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2E74B5"/>
      </w:pBdr>
    </w:pPr>
    <w:r>
      <w:rPr>
        <w:rFonts w:ascii="Calibri" w:hAnsi="Calibri"/>
        <w:b/>
        <w:color w:val="6B7280"/>
        <w:sz w:val="17"/>
      </w:rPr>
      <w:t>AUTOMATED ILI-TO-FEA</w:t>
    </w:r>
    <w:r>
      <w:rPr>
        <w:rFonts w:ascii="Calibri" w:hAnsi="Calibri"/>
        <w:color w:val="6B7280"/>
        <w:sz w:val="17"/>
      </w:rPr>
      <w:t xml:space="preserve">   |   Methodology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ILI-to-FEA Comprehensive Validation White Paper</dc:title>
  <dc:subject>Equations, variables, adaptive mesh, validation, and qualification of the Automated ILI-to-FEA workflow</dc:subject>
  <dc:creator>Pipeline Engineering Assessment Software</dc:creator>
  <cp:keywords>ILI, FEA, equations, adaptive mesh, ANN, DNN, validation, corrosion, dent, crack, SCC, reliability</cp:keywords>
  <dc:description>generated by python-docx</dc:description>
  <cp:lastModifiedBy/>
  <cp:revision>1</cp:revision>
  <dcterms:created xsi:type="dcterms:W3CDTF">2013-12-23T23:15:00Z</dcterms:created>
  <dcterms:modified xsi:type="dcterms:W3CDTF">2013-12-23T23:15:00Z</dcterms:modified>
  <cp:category/>
</cp:coreProperties>
</file>