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PT Sans Narrow" w:cs="PT Sans Narrow" w:eastAsia="PT Sans Narrow" w:hAnsi="PT Sans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455"/>
        <w:gridCol w:w="4185"/>
        <w:tblGridChange w:id="0">
          <w:tblGrid>
            <w:gridCol w:w="555"/>
            <w:gridCol w:w="445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Gud Hub Link to Quote: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6"/>
                  <w:szCs w:val="26"/>
                  <w:u w:val="single"/>
                  <w:rtl w:val="0"/>
                </w:rPr>
                <w:t xml:space="preserve">https://gudhub.com/act/open_item/2305/915/2857367</w:t>
              </w:r>
            </w:hyperlink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all the email chains that are dedicated to the 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11.997070312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Dusk settings: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Landscaping plan (particular type of bush, trees, grass, etc):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13.37646484375" w:line="272.7422904968262" w:lineRule="auto"/>
              <w:ind w:left="4.998779296875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 furniture modeling: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before="1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222222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/returning/regular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new</w:t>
            </w:r>
          </w:p>
        </w:tc>
      </w:tr>
      <w:tr>
        <w:trPr>
          <w:cantSplit w:val="0"/>
          <w:trHeight w:val="537.3510742187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43.37646484375" w:line="240" w:lineRule="auto"/>
              <w:ind w:left="4.59884643554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Paid in full or only the deposit: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deposit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 Agreements: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PT Sans Narrow" w:cs="PT Sans Narrow" w:eastAsia="PT Sans Narrow" w:hAnsi="PT Sans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Standard House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dhub.com/act/open_item/2305/915/285736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