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455"/>
        <w:gridCol w:w="4185"/>
        <w:tblGridChange w:id="0">
          <w:tblGrid>
            <w:gridCol w:w="555"/>
            <w:gridCol w:w="4455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ind w:left="11.9970703125" w:firstLine="0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Gud Hub Link to Quote: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hyperlink r:id="rId6">
              <w:r w:rsidDel="00000000" w:rsidR="00000000" w:rsidRPr="00000000">
                <w:rPr>
                  <w:rFonts w:ascii="Times" w:cs="Times" w:eastAsia="Times" w:hAnsi="Times"/>
                  <w:color w:val="1155cc"/>
                  <w:sz w:val="26"/>
                  <w:szCs w:val="26"/>
                  <w:u w:val="single"/>
                  <w:rtl w:val="0"/>
                </w:rPr>
                <w:t xml:space="preserve">https://gudhub.com/act/open_item/2305/915/2852011</w:t>
              </w:r>
            </w:hyperlink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ind w:left="11.9970703125" w:firstLine="0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 all the email chains that are dedicated to the 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ind w:left="11.9970703125" w:firstLine="0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Dusk settings: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before="13.37646484375" w:line="272.7422904968262" w:lineRule="auto"/>
              <w:ind w:left="4.998779296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Custom Landscaping plan (particular type of bush, trees, grass, etc):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before="13.37646484375" w:line="272.7422904968262" w:lineRule="auto"/>
              <w:ind w:left="4.998779296875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Custom furniture modeling: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before="13.37646484375" w:line="240" w:lineRule="auto"/>
              <w:ind w:left="4.5988464355468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Deadline: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color w:val="222222"/>
                <w:highlight w:val="white"/>
                <w:rtl w:val="0"/>
              </w:rPr>
              <w:t xml:space="preserve">No, but this project is in high 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before="43.37646484375" w:line="240" w:lineRule="auto"/>
              <w:ind w:left="4.598846435546875" w:firstLine="0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new /returning/regular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before="43.37646484375" w:line="240" w:lineRule="auto"/>
              <w:ind w:left="4.5988464355468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Paid in full or only the deposit: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full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Special Agreements: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 interior scenes for 2 design options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i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6"/>
                <w:szCs w:val="26"/>
                <w:u w:val="single"/>
                <w:rtl w:val="0"/>
              </w:rPr>
              <w:t xml:space="preserve">If this project goes well, there will be 50+ items package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Price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Product Rendering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PT Sans Narrow">
    <w:embedRegular w:fontKey="{00000000-0000-0000-0000-000000000000}" r:id="rId1" w:subsetted="0"/>
    <w:embedBold w:fontKey="{00000000-0000-0000-0000-000000000000}" r:id="rId2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udhub.com/act/open_item/2305/915/285201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