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2"/>
            <wp:cNvGraphicFramePr/>
            <a:graphic>
              <a:graphicData uri="http://schemas.openxmlformats.org/drawingml/2006/picture">
                <pic:pic>
                  <pic:nvPicPr>
                    <pic:cNvPr id="9002" name="banner900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2030 (“the Fund”) is a public closed-ended Shari’a-compliant investment traded fund established in accordance with the Investment Funds Regulations and the applicable laws and regulations of the Kingdom of Saudi Arabia and regulated by the Capital Market Authority (CMA). The Fund’s investment objective is to generate periodic income to investors by investing in income generating assets using a Shari’a-compliant investment structure. The Fund Manager “Alkhabeer Capital” plans to invest in Sukuk, trade finance transactions, leasing transactions, structured income instruments, asset backed debts,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4702</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AKDI2030: 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6 years, starting as from the Listing Date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10.1585</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311,650,974</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FUND MANAGER’S INVESTMENT VALUE AT THE END OF THE REPORTING QUARTER</w:t>
            </w:r>
          </w:p>
        </w:tc>
        <w:tc>
          <w:tcPr>
            <w:tcW w:type="dxa" w:w="6860"/>
          </w:tcPr>
          <w:p>
            <w:pPr>
              <w:spacing w:before="0" w:after="0" w:line="276" w:lineRule="auto"/>
            </w:pPr>
            <w:r>
              <w:rPr>
                <w:rFonts w:ascii="Arial" w:hAnsi="Arial" w:cs="Arial" w:eastAsia="Arial"/>
                <w:b/>
                <w:bCs/>
                <w:color w:val="0E1E3A"/>
                <w:sz w:val="18"/>
                <w:szCs w:val="18"/>
              </w:rPr>
              <w:t>SAR 50,792,541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90 Days</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2025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0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average term of Fund investments is 1.9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Semi-annually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311,650,974</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310,298,086</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0.46%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0.46%</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COSTS/FEES TO FUND’S AVERAGE NET ASSET VALUE</w:t>
            </w:r>
          </w:p>
        </w:tc>
        <w:tc>
          <w:tcPr>
            <w:tcW w:type="dxa" w:w="6860"/>
          </w:tcPr>
          <w:p>
            <w:pPr>
              <w:spacing w:before="0" w:after="0" w:line="276" w:lineRule="auto"/>
            </w:pPr>
            <w:r>
              <w:rPr>
                <w:rFonts w:ascii="Arial" w:hAnsi="Arial" w:cs="Arial" w:eastAsia="Arial"/>
                <w:b/>
                <w:bCs/>
                <w:color w:val="0E1E3A"/>
                <w:sz w:val="18"/>
                <w:szCs w:val="18"/>
              </w:rPr>
              <w:t>0.46%</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1,431,981</w:t>
            </w:r>
          </w:p>
        </w:tc>
      </w:tr>
    </w:tbl>
    <w:p>
      <w:pPr>
        <w:spacing w:before="0" w:after="40" w:line="300" w:lineRule="auto"/>
      </w:pPr>
    </w:p>
    <w:p>
      <w:pPr>
        <w:spacing w:before="0" w:after="80" w:line="312" w:lineRule="auto"/>
      </w:pPr>
      <w:r>
        <w:rPr>
          <w:rFonts w:ascii="Arial" w:hAnsi="Arial" w:cs="Arial" w:eastAsia="Arial"/>
          <w:color w:val="5A6478"/>
          <w:sz w:val="17"/>
          <w:szCs w:val="17"/>
        </w:rPr>
        <w:t>* As of 31 March 2025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312,006,639</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0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0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1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0108"/>
            <wp:docPr id="10" name="Picture 9011"/>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0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ASSET BACKED DEBTS PORTFOLIO TOTAL VALUE</w:t>
            </w:r>
          </w:p>
        </w:tc>
        <w:tc>
          <w:tcPr>
            <w:tcW w:type="dxa" w:w="6860"/>
          </w:tcPr>
          <w:p>
            <w:pPr>
              <w:spacing w:before="0" w:after="0" w:line="276" w:lineRule="auto"/>
            </w:pPr>
            <w:r>
              <w:rPr>
                <w:rFonts w:ascii="Arial" w:hAnsi="Arial" w:cs="Arial" w:eastAsia="Arial"/>
                <w:b/>
                <w:bCs/>
                <w:color w:val="0E1E3A"/>
                <w:sz w:val="18"/>
                <w:szCs w:val="18"/>
              </w:rPr>
              <w:t>SAR 59,984,914</w:t>
            </w:r>
          </w:p>
        </w:tc>
      </w:tr>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88,816,990</w:t>
            </w:r>
          </w:p>
        </w:tc>
      </w:tr>
      <w:tr>
        <w:tc>
          <w:tcPr>
            <w:tcW w:type="dxa" w:w="3118"/>
            <w:shd w:val="clear" w:color="auto" w:fill="F3F6FB"/>
          </w:tcPr>
          <w:p>
            <w:pPr>
              <w:spacing w:before="0" w:after="0" w:line="276" w:lineRule="auto"/>
            </w:pPr>
            <w:r>
              <w:rPr>
                <w:rFonts w:ascii="Arial" w:hAnsi="Arial" w:cs="Arial" w:eastAsia="Arial"/>
                <w:color w:val="5A6478"/>
                <w:sz w:val="18"/>
                <w:szCs w:val="18"/>
              </w:rPr>
              <w:t>STRUCTURED INCOME PORTFOLIO TOTAL VALUE</w:t>
            </w:r>
          </w:p>
        </w:tc>
        <w:tc>
          <w:tcPr>
            <w:tcW w:type="dxa" w:w="6860"/>
          </w:tcPr>
          <w:p>
            <w:pPr>
              <w:spacing w:before="0" w:after="0" w:line="276" w:lineRule="auto"/>
            </w:pPr>
            <w:r>
              <w:rPr>
                <w:rFonts w:ascii="Arial" w:hAnsi="Arial" w:cs="Arial" w:eastAsia="Arial"/>
                <w:b/>
                <w:bCs/>
                <w:color w:val="0E1E3A"/>
                <w:sz w:val="18"/>
                <w:szCs w:val="18"/>
              </w:rPr>
              <w:t>SAR 122,011,276</w:t>
            </w:r>
          </w:p>
        </w:tc>
      </w:tr>
      <w:tr>
        <w:tc>
          <w:tcPr>
            <w:tcW w:type="dxa" w:w="3118"/>
            <w:shd w:val="clear" w:color="auto" w:fill="F3F6FB"/>
          </w:tcPr>
          <w:p>
            <w:pPr>
              <w:spacing w:before="0" w:after="0" w:line="276" w:lineRule="auto"/>
            </w:pPr>
            <w:r>
              <w:rPr>
                <w:rFonts w:ascii="Arial" w:hAnsi="Arial" w:cs="Arial" w:eastAsia="Arial"/>
                <w:color w:val="5A6478"/>
                <w:sz w:val="18"/>
                <w:szCs w:val="18"/>
              </w:rPr>
              <w:t>LEASING INCOME PORTFOLIO TOTAL VALUE</w:t>
            </w:r>
          </w:p>
        </w:tc>
        <w:tc>
          <w:tcPr>
            <w:tcW w:type="dxa" w:w="6860"/>
          </w:tcPr>
          <w:p>
            <w:pPr>
              <w:spacing w:before="0" w:after="0" w:line="276" w:lineRule="auto"/>
            </w:pPr>
            <w:r>
              <w:rPr>
                <w:rFonts w:ascii="Arial" w:hAnsi="Arial" w:cs="Arial" w:eastAsia="Arial"/>
                <w:b/>
                <w:bCs/>
                <w:color w:val="0E1E3A"/>
                <w:sz w:val="18"/>
                <w:szCs w:val="18"/>
              </w:rPr>
              <w:t>SAR 39,921,185</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344,561</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572,049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1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227,564,981</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226,037,699</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2025</w:t>
            </w:r>
          </w:p>
        </w:tc>
        <w:tc>
          <w:tcPr>
            <w:tcW w:type="dxa" w:w="6860"/>
          </w:tcPr>
          <w:p>
            <w:pPr>
              <w:spacing w:before="0" w:after="0" w:line="276" w:lineRule="auto"/>
            </w:pPr>
            <w:r>
              <w:rPr>
                <w:rFonts w:ascii="Arial" w:hAnsi="Arial" w:cs="Arial" w:eastAsia="Arial"/>
                <w:b/>
                <w:bCs/>
                <w:color w:val="0E1E3A"/>
                <w:sz w:val="18"/>
                <w:szCs w:val="18"/>
              </w:rPr>
              <w:t>SAR 233,674,108</w:t>
            </w:r>
          </w:p>
        </w:tc>
      </w:tr>
    </w:tbl>
    <w:p>
      <w:pPr>
        <w:spacing w:before="0" w:after="40" w:line="300" w:lineRule="auto"/>
      </w:pPr>
    </w:p>
    <w:p>
      <w:pPr>
        <w:spacing w:before="0" w:after="80" w:line="312" w:lineRule="auto"/>
      </w:pPr>
      <w:r>
        <w:rPr>
          <w:rFonts w:ascii="Arial" w:hAnsi="Arial" w:cs="Arial" w:eastAsia="Arial"/>
          <w:color w:val="5A6478"/>
          <w:sz w:val="17"/>
          <w:szCs w:val="17"/>
        </w:rPr>
        <w:t>*Based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4" name="Picture 9015"/>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(31 MARCH 2025)</w:t>
            </w:r>
          </w:p>
        </w:tc>
        <w:tc>
          <w:tcPr>
            <w:tcW w:type="dxa" w:w="6860"/>
          </w:tcPr>
          <w:p>
            <w:pPr>
              <w:spacing w:before="0" w:after="0" w:line="276" w:lineRule="auto"/>
            </w:pPr>
            <w:r>
              <w:rPr>
                <w:rFonts w:ascii="Arial" w:hAnsi="Arial" w:cs="Arial" w:eastAsia="Arial"/>
                <w:b/>
                <w:bCs/>
                <w:color w:val="0E1E3A"/>
                <w:sz w:val="18"/>
                <w:szCs w:val="18"/>
              </w:rPr>
              <w:t>SAR 7.65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w:t>
            </w:r>
          </w:p>
        </w:tc>
        <w:tc>
          <w:tcPr>
            <w:tcW w:type="dxa" w:w="6860"/>
          </w:tcPr>
          <w:p>
            <w:pPr>
              <w:spacing w:before="0" w:after="0" w:line="276" w:lineRule="auto"/>
            </w:pPr>
            <w:r>
              <w:rPr>
                <w:rFonts w:ascii="Arial" w:hAnsi="Arial" w:cs="Arial" w:eastAsia="Arial"/>
                <w:b/>
                <w:bCs/>
                <w:color w:val="0E1E3A"/>
                <w:sz w:val="18"/>
                <w:szCs w:val="18"/>
              </w:rPr>
              <w:t>3.38%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2025)</w:t>
            </w:r>
          </w:p>
        </w:tc>
        <w:tc>
          <w:tcPr>
            <w:tcW w:type="dxa" w:w="6860"/>
          </w:tcPr>
          <w:p>
            <w:pPr>
              <w:spacing w:before="0" w:after="0" w:line="276" w:lineRule="auto"/>
            </w:pPr>
            <w:r>
              <w:rPr>
                <w:rFonts w:ascii="Arial" w:hAnsi="Arial" w:cs="Arial" w:eastAsia="Arial"/>
                <w:b/>
                <w:bCs/>
                <w:color w:val="0E1E3A"/>
                <w:sz w:val="18"/>
                <w:szCs w:val="18"/>
              </w:rPr>
              <w:t>-23.50%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7.01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INSTRUMENTS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*Unit Price as at 31 December 2024 = SAR 7.40.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17"/>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p>
      <w:pPr>
        <w:pStyle w:val="Heading3"/>
        <w:keepNext/>
        <w:spacing w:before="160" w:after="100" w:line="300" w:lineRule="auto"/>
      </w:pPr>
      <w:r>
        <w:rPr>
          <w:rFonts w:ascii="Arial" w:hAnsi="Arial" w:cs="Arial" w:eastAsia="Arial"/>
          <w:b/>
          <w:bCs/>
          <w:color w:val="12284B"/>
          <w:sz w:val="22"/>
          <w:szCs w:val="22"/>
        </w:rPr>
        <w:t>DIVIDEND DISTRIBUTION POLICY</w:t>
      </w:r>
    </w:p>
    <w:p>
      <w:pPr>
        <w:spacing w:before="0" w:after="80" w:line="312" w:lineRule="auto"/>
      </w:pPr>
      <w:r>
        <w:rPr>
          <w:rFonts w:ascii="Arial" w:hAnsi="Arial" w:cs="Arial" w:eastAsia="Arial"/>
          <w:color w:val="0E1E3A"/>
          <w:sz w:val="20"/>
          <w:szCs w:val="20"/>
        </w:rPr>
        <w:t>The Fund Manager will distribute returns on Fund investments (after deducting expenses, provisions and reserves) to Fund Unitholders semi-annually, with the exception of capital gains resulting from the sale of underlying assets, which may be reinvested in other assets or distributed in whole or in part at the Fund Manager’s discretion. The Fund will distribute dividends within (40) business days after the last day of each semi-annual period and at the end of each Gregorian year. The Fund Manager may distribute the returns on the Fund’s investments, after deducting expenses and provisions, to Unitholders more than twice per year at the Fund Manager’s discretion.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8,247,321</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8,247,321</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2.70%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3.53%</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6,250,634</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(31 MARCH 2025)</w:t>
            </w:r>
          </w:p>
        </w:tc>
        <w:tc>
          <w:tcPr>
            <w:tcW w:type="dxa" w:w="6860"/>
          </w:tcPr>
          <w:p>
            <w:pPr>
              <w:spacing w:before="0" w:after="0" w:line="276" w:lineRule="auto"/>
            </w:pPr>
            <w:r>
              <w:rPr>
                <w:rFonts w:ascii="Arial" w:hAnsi="Arial" w:cs="Arial" w:eastAsia="Arial"/>
                <w:b/>
                <w:bCs/>
                <w:color w:val="0E1E3A"/>
                <w:sz w:val="18"/>
                <w:szCs w:val="18"/>
              </w:rPr>
              <w:t>2.67%</w:t>
            </w:r>
          </w:p>
        </w:tc>
      </w:tr>
    </w:tbl>
    <w:p>
      <w:pPr>
        <w:spacing w:before="0" w:after="40" w:line="300" w:lineRule="auto"/>
      </w:pPr>
    </w:p>
    <w:p>
      <w:pPr>
        <w:spacing w:before="0" w:after="80" w:line="312" w:lineRule="auto"/>
      </w:pPr>
      <w:r>
        <w:rPr>
          <w:rFonts w:ascii="Arial" w:hAnsi="Arial" w:cs="Arial" w:eastAsia="Arial"/>
          <w:color w:val="5A6478"/>
          <w:sz w:val="17"/>
          <w:szCs w:val="17"/>
        </w:rPr>
        <w:t>* From 31 December 2024 to 31 March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18"/>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Dow Jones Sukuk Investment Grade Total Return +30% of the Secured Overnight Financing Rate for three months (SOFR 3M), which is a Shari’a compliant benchmark.</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3.38%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 *</w:t>
            </w:r>
          </w:p>
        </w:tc>
        <w:tc>
          <w:tcPr>
            <w:tcW w:type="dxa" w:w="6860"/>
          </w:tcPr>
          <w:p>
            <w:pPr>
              <w:spacing w:before="0" w:after="0" w:line="276" w:lineRule="auto"/>
            </w:pPr>
            <w:r>
              <w:rPr>
                <w:rFonts w:ascii="Arial" w:hAnsi="Arial" w:cs="Arial" w:eastAsia="Arial"/>
                <w:b/>
                <w:bCs/>
                <w:color w:val="0E1E3A"/>
                <w:sz w:val="18"/>
                <w:szCs w:val="18"/>
              </w:rPr>
              <w:t>-23.50%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-20.80%</w:t>
            </w:r>
          </w:p>
        </w:tc>
      </w:tr>
    </w:tbl>
    <w:p>
      <w:pPr>
        <w:spacing w:before="0" w:after="40" w:line="300" w:lineRule="auto"/>
      </w:pPr>
    </w:p>
    <w:p>
      <w:pPr>
        <w:spacing w:before="0" w:after="80" w:line="312" w:lineRule="auto"/>
      </w:pPr>
      <w:r>
        <w:rPr>
          <w:rFonts w:ascii="Arial" w:hAnsi="Arial" w:cs="Arial" w:eastAsia="Arial"/>
          <w:color w:val="5A6478"/>
          <w:sz w:val="17"/>
          <w:szCs w:val="17"/>
        </w:rPr>
        <w:t>* From the listing date of 17 July 2024 to 31 March 2025.</w:t>
      </w:r>
      <w:r>
        <w:br/>
      </w:r>
      <w:r>
        <w:rPr>
          <w:rFonts w:ascii="Arial" w:hAnsi="Arial" w:cs="Arial" w:eastAsia="Arial"/>
          <w:color w:val="5A6478"/>
          <w:sz w:val="17"/>
          <w:szCs w:val="17"/>
        </w:rPr>
        <w:t>** Including cash dividend distributions from the listing date up to the end of the reporting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1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a composite index comprised of 70% of the Dow Jones Sukuk Investment Grade Total Return +30% of the Secured Overnight Financing Rate for three months (SOFR 3M), which is a Shari’a compliant benchmark.</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20"/>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BENCHMARK</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 *</w:t>
            </w:r>
          </w:p>
        </w:tc>
        <w:tc>
          <w:tcPr>
            <w:tcW w:type="dxa" w:w="3326"/>
          </w:tcPr>
          <w:p>
            <w:pPr>
              <w:spacing w:before="0" w:after="0" w:line="264" w:lineRule="auto"/>
            </w:pPr>
            <w:r>
              <w:rPr>
                <w:rFonts w:ascii="Arial" w:hAnsi="Arial" w:cs="Arial" w:eastAsia="Arial"/>
                <w:color w:val="0E1E3A"/>
                <w:sz w:val="17"/>
                <w:szCs w:val="17"/>
              </w:rPr>
              <w:t>10.2708</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 **</w:t>
            </w:r>
          </w:p>
        </w:tc>
        <w:tc>
          <w:tcPr>
            <w:tcW w:type="dxa" w:w="3326"/>
          </w:tcPr>
          <w:p>
            <w:pPr>
              <w:spacing w:before="0" w:after="0" w:line="264" w:lineRule="auto"/>
            </w:pPr>
            <w:r>
              <w:rPr>
                <w:rFonts w:ascii="Arial" w:hAnsi="Arial" w:cs="Arial" w:eastAsia="Arial"/>
                <w:color w:val="0E1E3A"/>
                <w:sz w:val="17"/>
                <w:szCs w:val="17"/>
              </w:rPr>
              <w:t>10.1585</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-1.09%</w:t>
            </w:r>
          </w:p>
        </w:tc>
        <w:tc>
          <w:tcPr>
            <w:tcW w:type="dxa" w:w="3326"/>
          </w:tcPr>
          <w:p>
            <w:pPr>
              <w:spacing w:before="0" w:after="0" w:line="264" w:lineRule="auto"/>
            </w:pPr>
            <w:r>
              <w:rPr>
                <w:rFonts w:ascii="Arial" w:hAnsi="Arial" w:cs="Arial" w:eastAsia="Arial"/>
                <w:color w:val="0E1E3A"/>
                <w:sz w:val="17"/>
                <w:szCs w:val="17"/>
              </w:rPr>
              <w:t>1.15%</w:t>
            </w:r>
          </w:p>
        </w:tc>
      </w:tr>
    </w:tbl>
    <w:p>
      <w:pPr>
        <w:spacing w:before="0" w:after="40" w:line="300" w:lineRule="auto"/>
      </w:pPr>
    </w:p>
    <w:p>
      <w:pPr>
        <w:spacing w:before="0" w:after="80" w:line="312" w:lineRule="auto"/>
      </w:pPr>
      <w:r>
        <w:rPr>
          <w:rFonts w:ascii="Arial" w:hAnsi="Arial" w:cs="Arial" w:eastAsia="Arial"/>
          <w:color w:val="5A6478"/>
          <w:sz w:val="17"/>
          <w:szCs w:val="17"/>
        </w:rPr>
        <w:t>* As at 31 December 2024.</w:t>
      </w:r>
      <w:r>
        <w:br/>
      </w:r>
      <w:r>
        <w:rPr>
          <w:rFonts w:ascii="Arial" w:hAnsi="Arial" w:cs="Arial" w:eastAsia="Arial"/>
          <w:color w:val="5A6478"/>
          <w:sz w:val="17"/>
          <w:szCs w:val="17"/>
        </w:rPr>
        <w:t>** As at 31 March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2"/>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1.54%</w:t>
            </w:r>
          </w:p>
        </w:tc>
        <w:tc>
          <w:tcPr>
            <w:tcW w:type="dxa" w:w="1663"/>
          </w:tcPr>
          <w:p>
            <w:pPr>
              <w:spacing w:before="0" w:after="0" w:line="264" w:lineRule="auto"/>
            </w:pPr>
            <w:r>
              <w:rPr>
                <w:rFonts w:ascii="Arial" w:hAnsi="Arial" w:cs="Arial" w:eastAsia="Arial"/>
                <w:color w:val="0E1E3A"/>
                <w:sz w:val="17"/>
                <w:szCs w:val="17"/>
              </w:rPr>
              <w:t>1.54%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1.15%</w:t>
            </w:r>
          </w:p>
        </w:tc>
        <w:tc>
          <w:tcPr>
            <w:tcW w:type="dxa" w:w="1663"/>
          </w:tcPr>
          <w:p>
            <w:pPr>
              <w:spacing w:before="0" w:after="0" w:line="264" w:lineRule="auto"/>
            </w:pPr>
            <w:r>
              <w:rPr>
                <w:rFonts w:ascii="Arial" w:hAnsi="Arial" w:cs="Arial" w:eastAsia="Arial"/>
                <w:color w:val="0E1E3A"/>
                <w:sz w:val="17"/>
                <w:szCs w:val="17"/>
              </w:rPr>
              <w:t>1.15%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0.39%</w:t>
            </w:r>
          </w:p>
        </w:tc>
        <w:tc>
          <w:tcPr>
            <w:tcW w:type="dxa" w:w="1663"/>
          </w:tcPr>
          <w:p>
            <w:pPr>
              <w:spacing w:before="0" w:after="0" w:line="264" w:lineRule="auto"/>
            </w:pPr>
            <w:r>
              <w:rPr>
                <w:rFonts w:ascii="Arial" w:hAnsi="Arial" w:cs="Arial" w:eastAsia="Arial"/>
                <w:color w:val="0E1E3A"/>
                <w:sz w:val="17"/>
                <w:szCs w:val="17"/>
              </w:rPr>
              <w:t>0.39%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31 December 2024 to 31 March 2025, including 2.70% cash distributions.</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23"/>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14.33</w:t>
            </w:r>
          </w:p>
        </w:tc>
        <w:tc>
          <w:tcPr>
            <w:tcW w:type="dxa" w:w="1663"/>
          </w:tcPr>
          <w:p>
            <w:pPr>
              <w:spacing w:before="0" w:after="0" w:line="264" w:lineRule="auto"/>
            </w:pPr>
            <w:r>
              <w:rPr>
                <w:rFonts w:ascii="Arial" w:hAnsi="Arial" w:cs="Arial" w:eastAsia="Arial"/>
                <w:color w:val="0E1E3A"/>
                <w:sz w:val="17"/>
                <w:szCs w:val="17"/>
              </w:rPr>
              <w:t>14.33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0.76</w:t>
            </w:r>
          </w:p>
        </w:tc>
        <w:tc>
          <w:tcPr>
            <w:tcW w:type="dxa" w:w="1663"/>
          </w:tcPr>
          <w:p>
            <w:pPr>
              <w:spacing w:before="0" w:after="0" w:line="264" w:lineRule="auto"/>
            </w:pPr>
            <w:r>
              <w:rPr>
                <w:rFonts w:ascii="Arial" w:hAnsi="Arial" w:cs="Arial" w:eastAsia="Arial"/>
                <w:color w:val="0E1E3A"/>
                <w:sz w:val="17"/>
                <w:szCs w:val="17"/>
              </w:rPr>
              <w:t>0.76</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14.33</w:t>
            </w:r>
          </w:p>
        </w:tc>
        <w:tc>
          <w:tcPr>
            <w:tcW w:type="dxa" w:w="1663"/>
          </w:tcPr>
          <w:p>
            <w:pPr>
              <w:spacing w:before="0" w:after="0" w:line="264" w:lineRule="auto"/>
            </w:pPr>
            <w:r>
              <w:rPr>
                <w:rFonts w:ascii="Arial" w:hAnsi="Arial" w:cs="Arial" w:eastAsia="Arial"/>
                <w:color w:val="0E1E3A"/>
                <w:sz w:val="17"/>
                <w:szCs w:val="17"/>
              </w:rPr>
              <w:t>14.33</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0.12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-0.14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1.00</w:t>
            </w:r>
          </w:p>
        </w:tc>
        <w:tc>
          <w:tcPr>
            <w:tcW w:type="dxa" w:w="1663"/>
          </w:tcPr>
          <w:p>
            <w:pPr>
              <w:spacing w:before="0" w:after="0" w:line="264" w:lineRule="auto"/>
            </w:pPr>
            <w:r>
              <w:rPr>
                <w:rFonts w:ascii="Arial" w:hAnsi="Arial" w:cs="Arial" w:eastAsia="Arial"/>
                <w:color w:val="0E1E3A"/>
                <w:sz w:val="17"/>
                <w:szCs w:val="17"/>
              </w:rPr>
              <w:t>1.00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31 December 2024 to 31 March 2025.</w:t>
      </w:r>
      <w:r>
        <w:br/>
      </w: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5"/>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5" name="Picture 9026"/>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27"/>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28"/>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2030, nor shall it (or any part of it) form the basis of, or be relied on, in connection with, or act as inducement to enter into any contract whatsoever. Prospective investors should read carefully Alkhabeer Diversified Income Traded Fund’s 2030 Terms and Conditions and their contents related to investment risks, as well as other Alkhabeer Diversified Income Traded Fund 2030 documents prior to making any investment decision. Alkhabeer Diversified Income Traded Fund 2030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2030 is not a guarantee of the Fund’s future results. By investing in the Fund, the investor acknowledges having read and accepted Alkhabeer Diversified Income Traded Fund’s 2030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Q1 2025</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