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04"/>
            <wp:cNvGraphicFramePr/>
            <a:graphic>
              <a:graphicData uri="http://schemas.openxmlformats.org/drawingml/2006/picture">
                <pic:pic>
                  <pic:nvPicPr>
                    <pic:cNvPr id="9004" name="banner9004.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05"/>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أ.</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هدف الصندوق:</w:t>
      </w:r>
    </w:p>
    <w:p>
      <w:pPr>
        <w:bidi w:val="1"/>
        <w:spacing w:before="0" w:after="80" w:line="312" w:lineRule="auto"/>
      </w:pPr>
      <w:r>
        <w:rPr>
          <w:rFonts w:ascii="Arial" w:hAnsi="Arial" w:cs="Arial" w:eastAsia="Arial"/>
          <w:color w:val="0E1E3A"/>
          <w:sz w:val="20"/>
          <w:szCs w:val="20"/>
          <w:rtl/>
        </w:rPr>
        <w:t>يتمثل الهدف الاستثماري للصندوق في تحقيق دخل دوري للمستثمرين من خلال الاستثمار في أصول مدرّة للدخل؛ من خلال هيكل استثماري متوافق مع ضوابط لجنة الرقابة الشرعية. وينوي مدير الصندوق "الخبير المالية" الاستثمار في الصكوك، وصفقات عقود التمويل التجاري، وصفقات الإجارة، وأدوات الدخل المهيكلة، والديون المدعومة بالأصول، وصناديق الدخل، وصفقات المرابحة، إما بشكل مباشر، أو من خلال صناديق استثمار.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0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ب.</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بدء الصندوق</w:t>
            </w:r>
          </w:p>
        </w:tc>
        <w:tc>
          <w:tcPr>
            <w:tcW w:type="dxa" w:w="6860"/>
          </w:tcPr>
          <w:p>
            <w:pPr>
              <w:bidi w:val="1"/>
              <w:spacing w:before="0" w:after="0" w:line="276" w:lineRule="auto"/>
            </w:pPr>
            <w:r>
              <w:rPr>
                <w:rFonts w:ascii="Arial" w:hAnsi="Arial" w:cs="Arial" w:eastAsia="Arial"/>
                <w:b/>
                <w:bCs/>
                <w:color w:val="0E1E3A"/>
                <w:sz w:val="18"/>
                <w:szCs w:val="18"/>
                <w:rtl/>
              </w:rPr>
              <w:t>17 يوليو 2024م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عند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10.1701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الصندوق *</w:t>
            </w:r>
          </w:p>
        </w:tc>
        <w:tc>
          <w:tcPr>
            <w:tcW w:type="dxa" w:w="6860"/>
          </w:tcPr>
          <w:p>
            <w:pPr>
              <w:bidi w:val="1"/>
              <w:spacing w:before="0" w:after="0" w:line="276" w:lineRule="auto"/>
            </w:pPr>
            <w:r>
              <w:rPr>
                <w:rFonts w:ascii="Arial" w:hAnsi="Arial" w:cs="Arial" w:eastAsia="Arial"/>
                <w:b/>
                <w:bCs/>
                <w:color w:val="0E1E3A"/>
                <w:sz w:val="18"/>
                <w:szCs w:val="18"/>
                <w:rtl/>
              </w:rPr>
              <w:t>312,000,969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 xml:space="preserve">مؤشر مركب من معدل </w:t>
            </w:r>
            <w:r>
              <w:rPr>
                <w:rFonts w:ascii="Arial" w:hAnsi="Arial" w:cs="Arial" w:eastAsia="Arial"/>
                <w:b/>
                <w:bCs/>
                <w:color w:val="0E1E3A"/>
                <w:sz w:val="18"/>
                <w:szCs w:val="18"/>
              </w:rPr>
              <w:t>‎70%‎</w:t>
            </w:r>
            <w:r>
              <w:rPr>
                <w:rFonts w:ascii="Arial" w:hAnsi="Arial" w:cs="Arial" w:eastAsia="Arial"/>
                <w:b/>
                <w:bCs/>
                <w:color w:val="0E1E3A"/>
                <w:sz w:val="18"/>
                <w:szCs w:val="18"/>
                <w:rtl/>
              </w:rPr>
              <w:t xml:space="preserve"> من العائد على مؤشر داو جونز للعائد الإجمالي على الصكوك </w:t>
            </w:r>
            <w:r>
              <w:rPr>
                <w:rFonts w:ascii="Arial" w:hAnsi="Arial" w:cs="Arial" w:eastAsia="Arial"/>
                <w:b/>
                <w:bCs/>
                <w:color w:val="0E1E3A"/>
                <w:sz w:val="18"/>
                <w:szCs w:val="18"/>
              </w:rPr>
              <w:t>‎30%‎</w:t>
            </w:r>
            <w:r>
              <w:rPr>
                <w:rFonts w:ascii="Arial" w:hAnsi="Arial" w:cs="Arial" w:eastAsia="Arial"/>
                <w:b/>
                <w:bCs/>
                <w:color w:val="0E1E3A"/>
                <w:sz w:val="18"/>
                <w:szCs w:val="18"/>
                <w:rtl/>
              </w:rPr>
              <w:t>+ مؤشر سعر فائدة التمويل المضمون لليلة واحدة SOFR لثلاثة أشهر. وهو مؤشر متوافق مع ضوابط الشريعة الإسلامية.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مرات التوزيع</w:t>
            </w:r>
          </w:p>
        </w:tc>
        <w:tc>
          <w:tcPr>
            <w:tcW w:type="dxa" w:w="6860"/>
          </w:tcPr>
          <w:p>
            <w:pPr>
              <w:bidi w:val="1"/>
              <w:spacing w:before="0" w:after="0" w:line="276" w:lineRule="auto"/>
            </w:pPr>
            <w:r>
              <w:rPr>
                <w:rFonts w:ascii="Arial" w:hAnsi="Arial" w:cs="Arial" w:eastAsia="Arial"/>
                <w:b/>
                <w:bCs/>
                <w:color w:val="0E1E3A"/>
                <w:sz w:val="18"/>
                <w:szCs w:val="18"/>
                <w:rtl/>
              </w:rPr>
              <w:t>يجوز لمدير الصندوق توزيع عوائد استثمارات الصندوق بعد خصم المصروفات والمخصصات على مالكي الوحدات أكثر من مرتين في السنة وفق تقديره.</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90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إجمالي قيمة الأصول كما في تاريخ 31 مارس 2026م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0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ج.</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تعريفات:</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الانحراف المعياري</w:t>
            </w:r>
          </w:p>
        </w:tc>
        <w:tc>
          <w:tcPr>
            <w:tcW w:type="dxa" w:w="6860"/>
          </w:tcPr>
          <w:p>
            <w:pPr>
              <w:bidi w:val="1"/>
              <w:spacing w:before="0" w:after="0" w:line="276" w:lineRule="auto"/>
            </w:pPr>
            <w:r>
              <w:rPr>
                <w:rFonts w:ascii="Arial" w:hAnsi="Arial" w:cs="Arial" w:eastAsia="Arial"/>
                <w:b/>
                <w:bCs/>
                <w:color w:val="0E1E3A"/>
                <w:sz w:val="18"/>
                <w:szCs w:val="18"/>
                <w:rtl/>
              </w:rPr>
              <w:t>هو مقياس للمخاطر، ويتم حسابه على أنه التذبذب بين العوائد على مدى فترة زمنية. وكلما انخفض التقلب، كانت مجموعة العوائد أكثر تجانسا.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مؤشر شارب</w:t>
            </w:r>
          </w:p>
        </w:tc>
        <w:tc>
          <w:tcPr>
            <w:tcW w:type="dxa" w:w="6860"/>
          </w:tcPr>
          <w:p>
            <w:pPr>
              <w:bidi w:val="1"/>
              <w:spacing w:before="0" w:after="0" w:line="276" w:lineRule="auto"/>
            </w:pPr>
            <w:r>
              <w:rPr>
                <w:rFonts w:ascii="Arial" w:hAnsi="Arial" w:cs="Arial" w:eastAsia="Arial"/>
                <w:b/>
                <w:bCs/>
                <w:color w:val="0E1E3A"/>
                <w:sz w:val="18"/>
                <w:szCs w:val="18"/>
                <w:rtl/>
              </w:rPr>
              <w:t>هو مقياس أداء معدل المخاطر، ويتم حسابه على أنه الفرق كعائد فائض لمدير الصندوق على المعدل الخالي من المخاطر، مقسوما على الانحراف المعياري. و كلما زاد معدل شارب للمحفظة، كلما كان أداؤه حسب المخاطر أفضل.</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خطأ التتبع (Tracking Error)</w:t>
            </w:r>
          </w:p>
        </w:tc>
        <w:tc>
          <w:tcPr>
            <w:tcW w:type="dxa" w:w="6860"/>
          </w:tcPr>
          <w:p>
            <w:pPr>
              <w:bidi w:val="1"/>
              <w:spacing w:before="0" w:after="0" w:line="276" w:lineRule="auto"/>
            </w:pPr>
            <w:r>
              <w:rPr>
                <w:rFonts w:ascii="Arial" w:hAnsi="Arial" w:cs="Arial" w:eastAsia="Arial"/>
                <w:b/>
                <w:bCs/>
                <w:color w:val="0E1E3A"/>
                <w:sz w:val="18"/>
                <w:szCs w:val="18"/>
                <w:rtl/>
              </w:rPr>
              <w:t>هو مقياس للمخاطر، ويتم حسابه على أنه الانحراف المعياري بين عائد مدير الصندوق وعائد المؤشر. وكلما انخفض خطأ التتبع، كلما انحرف مدير الصندوق عن المؤشر.</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بيتا (Beta)</w:t>
            </w:r>
          </w:p>
        </w:tc>
        <w:tc>
          <w:tcPr>
            <w:tcW w:type="dxa" w:w="6860"/>
          </w:tcPr>
          <w:p>
            <w:pPr>
              <w:bidi w:val="1"/>
              <w:spacing w:before="0" w:after="0" w:line="276" w:lineRule="auto"/>
            </w:pPr>
            <w:r>
              <w:rPr>
                <w:rFonts w:ascii="Arial" w:hAnsi="Arial" w:cs="Arial" w:eastAsia="Arial"/>
                <w:b/>
                <w:bCs/>
                <w:color w:val="0E1E3A"/>
                <w:sz w:val="18"/>
                <w:szCs w:val="18"/>
                <w:rtl/>
              </w:rPr>
              <w:t>هو مقياس لمتوسط الحساسية التاريخية لعوائد الصندوق مقارنة بعوائد السوق، ويتم احتسابها عن طريق حساب تغاير سعر الوحدة ومؤشر السوق على تباين مؤشر السوق.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ألفا (Alpha)</w:t>
            </w:r>
          </w:p>
        </w:tc>
        <w:tc>
          <w:tcPr>
            <w:tcW w:type="dxa" w:w="6860"/>
          </w:tcPr>
          <w:p>
            <w:pPr>
              <w:bidi w:val="1"/>
              <w:spacing w:before="0" w:after="0" w:line="276" w:lineRule="auto"/>
            </w:pPr>
            <w:r>
              <w:rPr>
                <w:rFonts w:ascii="Arial" w:hAnsi="Arial" w:cs="Arial" w:eastAsia="Arial"/>
                <w:b/>
                <w:bCs/>
                <w:color w:val="0E1E3A"/>
                <w:sz w:val="18"/>
                <w:szCs w:val="18"/>
                <w:rtl/>
              </w:rPr>
              <w:t>هو مقياس أي تفوق حققه أداء الصندوق مقارنة بأداء المؤشر المرتبط به.</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مؤشر المعلومات</w:t>
            </w:r>
          </w:p>
        </w:tc>
        <w:tc>
          <w:tcPr>
            <w:tcW w:type="dxa" w:w="6860"/>
          </w:tcPr>
          <w:p>
            <w:pPr>
              <w:bidi w:val="1"/>
              <w:spacing w:before="0" w:after="0" w:line="276" w:lineRule="auto"/>
            </w:pPr>
            <w:r>
              <w:rPr>
                <w:rFonts w:ascii="Arial" w:hAnsi="Arial" w:cs="Arial" w:eastAsia="Arial"/>
                <w:b/>
                <w:bCs/>
                <w:color w:val="0E1E3A"/>
                <w:sz w:val="18"/>
                <w:szCs w:val="18"/>
                <w:rtl/>
              </w:rPr>
              <w:t>هو مقياس أداء معدل المخاطر، ويتم حسابه على أنه العائد النشط لمدير الصندوق مقسوما على خطأ التتبع الخاص به. وكلما ارتفع معدل المعلومات، كلما ازدادت قدرة مدير الصندوق على تحقيق عوائد زائدة لكل وحدة من المخاطر الزائدة.</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5" name="Picture 900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د.</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تعليق مدير الصندوق:</w:t>
      </w:r>
    </w:p>
    <w:p>
      <w:pPr>
        <w:bidi w:val="1"/>
        <w:spacing w:before="0" w:after="80" w:line="312" w:lineRule="auto"/>
      </w:pPr>
      <w:r>
        <w:rPr>
          <w:rFonts w:ascii="Arial" w:hAnsi="Arial" w:cs="Arial" w:eastAsia="Arial"/>
          <w:color w:val="0E1E3A"/>
          <w:sz w:val="20"/>
          <w:szCs w:val="20"/>
          <w:rtl/>
        </w:rPr>
        <w:t>لا ينطبق.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0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ه.</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الاتصال:</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رقم الهاتف</w:t>
            </w:r>
          </w:p>
        </w:tc>
        <w:tc>
          <w:tcPr>
            <w:tcW w:type="dxa" w:w="6860"/>
          </w:tcPr>
          <w:p>
            <w:pPr>
              <w:bidi w:val="1"/>
              <w:spacing w:before="0" w:after="0" w:line="276" w:lineRule="auto"/>
            </w:pPr>
            <w:r>
              <w:rPr>
                <w:rFonts w:ascii="Arial" w:hAnsi="Arial" w:cs="Arial" w:eastAsia="Arial"/>
                <w:b/>
                <w:bCs/>
                <w:color w:val="0E1E3A"/>
                <w:sz w:val="18"/>
                <w:szCs w:val="18"/>
              </w:rPr>
              <w:t>‎+966 12 658 8888‎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الموقع الإلكتروني</w:t>
            </w:r>
          </w:p>
        </w:tc>
        <w:tc>
          <w:tcPr>
            <w:tcW w:type="dxa" w:w="6860"/>
          </w:tcPr>
          <w:p>
            <w:pPr>
              <w:bidi w:val="1"/>
              <w:spacing w:before="0" w:after="0" w:line="276" w:lineRule="auto"/>
            </w:pPr>
            <w:r>
              <w:rPr>
                <w:rFonts w:ascii="Arial" w:hAnsi="Arial" w:cs="Arial" w:eastAsia="Arial"/>
                <w:b/>
                <w:bCs/>
                <w:color w:val="0E1E3A"/>
                <w:sz w:val="18"/>
                <w:szCs w:val="18"/>
                <w:rtl/>
              </w:rPr>
              <w:t>www.alkhabeer.com</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البريد الإلكتروني</w:t>
            </w:r>
          </w:p>
        </w:tc>
        <w:tc>
          <w:tcPr>
            <w:tcW w:type="dxa" w:w="6860"/>
          </w:tcPr>
          <w:p>
            <w:pPr>
              <w:bidi w:val="1"/>
              <w:spacing w:before="0" w:after="0" w:line="276" w:lineRule="auto"/>
            </w:pPr>
            <w:r>
              <w:rPr>
                <w:rFonts w:ascii="Arial" w:hAnsi="Arial" w:cs="Arial" w:eastAsia="Arial"/>
                <w:b/>
                <w:bCs/>
                <w:color w:val="0E1E3A"/>
                <w:sz w:val="18"/>
                <w:szCs w:val="18"/>
                <w:rtl/>
              </w:rPr>
              <w:t>info@alkhabeer.com</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1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و.</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معلومات الأسعار كما في نهاية الربع المعني (مارس 2026م):</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كما في نهاية الربع الأول (31 مارس 2026م)</w:t>
            </w:r>
          </w:p>
        </w:tc>
        <w:tc>
          <w:tcPr>
            <w:tcW w:type="dxa" w:w="6860"/>
          </w:tcPr>
          <w:p>
            <w:pPr>
              <w:bidi w:val="1"/>
              <w:spacing w:before="0" w:after="0" w:line="276" w:lineRule="auto"/>
            </w:pPr>
            <w:r>
              <w:rPr>
                <w:rFonts w:ascii="Arial" w:hAnsi="Arial" w:cs="Arial" w:eastAsia="Arial"/>
                <w:b/>
                <w:bCs/>
                <w:color w:val="0E1E3A"/>
                <w:sz w:val="18"/>
                <w:szCs w:val="18"/>
                <w:rtl/>
              </w:rPr>
              <w:t>7.87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w:t>
            </w:r>
          </w:p>
        </w:tc>
        <w:tc>
          <w:tcPr>
            <w:tcW w:type="dxa" w:w="6860"/>
          </w:tcPr>
          <w:p>
            <w:pPr>
              <w:bidi w:val="1"/>
              <w:spacing w:before="0" w:after="0" w:line="276" w:lineRule="auto"/>
            </w:pPr>
            <w:r>
              <w:rPr>
                <w:rFonts w:ascii="Arial" w:hAnsi="Arial" w:cs="Arial" w:eastAsia="Arial"/>
                <w:b/>
                <w:bCs/>
                <w:color w:val="0E1E3A"/>
                <w:sz w:val="18"/>
                <w:szCs w:val="18"/>
              </w:rPr>
              <w:t>‎1.81%‎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المزدوج لصناديق أسواق النقد، وصناديق أدوات الدين ذات الدخل الثابت</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عدد وحدات الصندوق</w:t>
            </w:r>
          </w:p>
        </w:tc>
        <w:tc>
          <w:tcPr>
            <w:tcW w:type="dxa" w:w="6860"/>
          </w:tcPr>
          <w:p>
            <w:pPr>
              <w:bidi w:val="1"/>
              <w:spacing w:before="0" w:after="0" w:line="276" w:lineRule="auto"/>
            </w:pPr>
            <w:r>
              <w:rPr>
                <w:rFonts w:ascii="Arial" w:hAnsi="Arial" w:cs="Arial" w:eastAsia="Arial"/>
                <w:b/>
                <w:bCs/>
                <w:color w:val="0E1E3A"/>
                <w:sz w:val="18"/>
                <w:szCs w:val="18"/>
                <w:rtl/>
              </w:rPr>
              <w:t>30,545,635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الأصول</w:t>
            </w:r>
          </w:p>
        </w:tc>
        <w:tc>
          <w:tcPr>
            <w:tcW w:type="dxa" w:w="6860"/>
          </w:tcPr>
          <w:p>
            <w:pPr>
              <w:bidi w:val="1"/>
              <w:spacing w:before="0" w:after="0" w:line="276" w:lineRule="auto"/>
            </w:pPr>
            <w:r>
              <w:rPr>
                <w:rFonts w:ascii="Arial" w:hAnsi="Arial" w:cs="Arial" w:eastAsia="Arial"/>
                <w:b/>
                <w:bCs/>
                <w:color w:val="0E1E3A"/>
                <w:sz w:val="18"/>
                <w:szCs w:val="18"/>
                <w:rtl/>
              </w:rPr>
              <w:t>310,653,156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 (P/E)</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8" name="Picture 901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ز.</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معلومات الصندوق كما في نهاية الربع الأول (مارس 2026م):</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ريال سعودي</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w:t>
            </w:r>
          </w:p>
        </w:tc>
      </w:tr>
      <w:tr>
        <w:tc>
          <w:tcPr>
            <w:tcW w:type="dxa" w:w="3326"/>
          </w:tcPr>
          <w:p>
            <w:pPr>
              <w:bidi w:val="1"/>
              <w:spacing w:before="0" w:after="0" w:line="264" w:lineRule="auto"/>
            </w:pPr>
            <w:r>
              <w:rPr>
                <w:rFonts w:ascii="Arial" w:hAnsi="Arial" w:cs="Arial" w:eastAsia="Arial"/>
                <w:color w:val="0E1E3A"/>
                <w:sz w:val="17"/>
                <w:szCs w:val="17"/>
                <w:rtl/>
              </w:rPr>
              <w:t>نسبة الأتعاب والمصروفات الإجمالية (TER) من متوسط صافي أصول الصندوق*</w:t>
            </w:r>
          </w:p>
        </w:tc>
        <w:tc>
          <w:tcPr>
            <w:tcW w:type="dxa" w:w="3326"/>
          </w:tcPr>
          <w:p>
            <w:pPr>
              <w:bidi w:val="1"/>
              <w:spacing w:before="0" w:after="0" w:line="264" w:lineRule="auto"/>
            </w:pPr>
            <w:r>
              <w:rPr>
                <w:rFonts w:ascii="Arial" w:hAnsi="Arial" w:cs="Arial" w:eastAsia="Arial"/>
                <w:color w:val="0E1E3A"/>
                <w:sz w:val="17"/>
                <w:szCs w:val="17"/>
                <w:rtl/>
              </w:rPr>
              <w:t>1,163,464 ر.س.</w:t>
            </w:r>
          </w:p>
        </w:tc>
        <w:tc>
          <w:tcPr>
            <w:tcW w:type="dxa" w:w="3326"/>
          </w:tcPr>
          <w:p>
            <w:pPr>
              <w:bidi w:val="1"/>
              <w:spacing w:before="0" w:after="0" w:line="264" w:lineRule="auto"/>
            </w:pPr>
            <w:r>
              <w:rPr>
                <w:rFonts w:ascii="Arial" w:hAnsi="Arial" w:cs="Arial" w:eastAsia="Arial"/>
                <w:color w:val="0E1E3A"/>
                <w:sz w:val="17"/>
                <w:szCs w:val="17"/>
              </w:rPr>
              <w:t>‎0.37%‎</w:t>
            </w:r>
          </w:p>
        </w:tc>
      </w:tr>
      <w:tr>
        <w:tc>
          <w:tcPr>
            <w:tcW w:type="dxa" w:w="3326"/>
          </w:tcPr>
          <w:p>
            <w:pPr>
              <w:bidi w:val="1"/>
              <w:spacing w:before="0" w:after="0" w:line="264" w:lineRule="auto"/>
            </w:pPr>
            <w:r>
              <w:rPr>
                <w:rFonts w:ascii="Arial" w:hAnsi="Arial" w:cs="Arial" w:eastAsia="Arial"/>
                <w:color w:val="0E1E3A"/>
                <w:sz w:val="17"/>
                <w:szCs w:val="17"/>
                <w:rtl/>
              </w:rPr>
              <w:t>نسبة الاقتراض من القيمة الإجمالية لأصول الصندوق</w:t>
            </w:r>
          </w:p>
        </w:tc>
        <w:tc>
          <w:tcPr>
            <w:tcW w:type="dxa" w:w="3326"/>
          </w:tcPr>
          <w:p>
            <w:pPr>
              <w:bidi w:val="1"/>
              <w:spacing w:before="0" w:after="0" w:line="264" w:lineRule="auto"/>
            </w:pPr>
            <w:r>
              <w:rPr>
                <w:rFonts w:ascii="Arial" w:hAnsi="Arial" w:cs="Arial" w:eastAsia="Arial"/>
                <w:color w:val="0E1E3A"/>
                <w:sz w:val="17"/>
                <w:szCs w:val="17"/>
                <w:rtl/>
              </w:rPr>
              <w:t>لا يوجد</w:t>
            </w:r>
          </w:p>
        </w:tc>
        <w:tc>
          <w:tcPr>
            <w:tcW w:type="dxa" w:w="3326"/>
          </w:tcPr>
          <w:p>
            <w:pPr>
              <w:bidi w:val="1"/>
              <w:spacing w:before="0" w:after="0" w:line="264" w:lineRule="auto"/>
            </w:pPr>
            <w:r>
              <w:rPr>
                <w:rFonts w:ascii="Arial" w:hAnsi="Arial" w:cs="Arial" w:eastAsia="Arial"/>
                <w:color w:val="0E1E3A"/>
                <w:sz w:val="17"/>
                <w:szCs w:val="17"/>
                <w:rtl/>
              </w:rPr>
              <w:t>لا يوجد</w:t>
            </w:r>
          </w:p>
        </w:tc>
      </w:tr>
      <w:tr>
        <w:tc>
          <w:tcPr>
            <w:tcW w:type="dxa" w:w="3326"/>
          </w:tcPr>
          <w:p>
            <w:pPr>
              <w:bidi w:val="1"/>
              <w:spacing w:before="0" w:after="0" w:line="264" w:lineRule="auto"/>
            </w:pPr>
            <w:r>
              <w:rPr>
                <w:rFonts w:ascii="Arial" w:hAnsi="Arial" w:cs="Arial" w:eastAsia="Arial"/>
                <w:color w:val="0E1E3A"/>
                <w:sz w:val="17"/>
                <w:szCs w:val="17"/>
                <w:rtl/>
              </w:rPr>
              <w:t>مصاريف التعامل من متوسط صافي أصول الصندوق</w:t>
            </w:r>
          </w:p>
        </w:tc>
        <w:tc>
          <w:tcPr>
            <w:tcW w:type="dxa" w:w="3326"/>
          </w:tcPr>
          <w:p>
            <w:pPr>
              <w:bidi w:val="1"/>
              <w:spacing w:before="0" w:after="0" w:line="264" w:lineRule="auto"/>
            </w:pPr>
            <w:r>
              <w:rPr>
                <w:rFonts w:ascii="Arial" w:hAnsi="Arial" w:cs="Arial" w:eastAsia="Arial"/>
                <w:color w:val="0E1E3A"/>
                <w:sz w:val="17"/>
                <w:szCs w:val="17"/>
                <w:rtl/>
              </w:rPr>
              <w:t>لا يوجد</w:t>
            </w:r>
          </w:p>
        </w:tc>
        <w:tc>
          <w:tcPr>
            <w:tcW w:type="dxa" w:w="3326"/>
          </w:tcPr>
          <w:p>
            <w:pPr>
              <w:bidi w:val="1"/>
              <w:spacing w:before="0" w:after="0" w:line="264" w:lineRule="auto"/>
            </w:pPr>
            <w:r>
              <w:rPr>
                <w:rFonts w:ascii="Arial" w:hAnsi="Arial" w:cs="Arial" w:eastAsia="Arial"/>
                <w:color w:val="0E1E3A"/>
                <w:sz w:val="17"/>
                <w:szCs w:val="17"/>
                <w:rtl/>
              </w:rPr>
              <w:t>لا يوجد</w:t>
            </w:r>
          </w:p>
        </w:tc>
      </w:tr>
      <w:tr>
        <w:tc>
          <w:tcPr>
            <w:tcW w:type="dxa" w:w="3326"/>
          </w:tcPr>
          <w:p>
            <w:pPr>
              <w:bidi w:val="1"/>
              <w:spacing w:before="0" w:after="0" w:line="264" w:lineRule="auto"/>
            </w:pPr>
            <w:r>
              <w:rPr>
                <w:rFonts w:ascii="Arial" w:hAnsi="Arial" w:cs="Arial" w:eastAsia="Arial"/>
                <w:color w:val="0E1E3A"/>
                <w:sz w:val="17"/>
                <w:szCs w:val="17"/>
                <w:rtl/>
              </w:rPr>
              <w:t>استثمار مدير الصندوق من صافي أصول الصندوق</w:t>
            </w:r>
          </w:p>
        </w:tc>
        <w:tc>
          <w:tcPr>
            <w:tcW w:type="dxa" w:w="3326"/>
          </w:tcPr>
          <w:p>
            <w:pPr>
              <w:bidi w:val="1"/>
              <w:spacing w:before="0" w:after="0" w:line="264" w:lineRule="auto"/>
            </w:pPr>
            <w:r>
              <w:rPr>
                <w:rFonts w:ascii="Arial" w:hAnsi="Arial" w:cs="Arial" w:eastAsia="Arial"/>
                <w:color w:val="0E1E3A"/>
                <w:sz w:val="17"/>
                <w:szCs w:val="17"/>
                <w:rtl/>
              </w:rPr>
              <w:t>50,850,663 ر.س.</w:t>
            </w:r>
          </w:p>
        </w:tc>
        <w:tc>
          <w:tcPr>
            <w:tcW w:type="dxa" w:w="3326"/>
          </w:tcPr>
          <w:p>
            <w:pPr>
              <w:bidi w:val="1"/>
              <w:spacing w:before="0" w:after="0" w:line="264" w:lineRule="auto"/>
            </w:pPr>
            <w:r>
              <w:rPr>
                <w:rFonts w:ascii="Arial" w:hAnsi="Arial" w:cs="Arial" w:eastAsia="Arial"/>
                <w:color w:val="0E1E3A"/>
                <w:sz w:val="17"/>
                <w:szCs w:val="17"/>
              </w:rPr>
              <w:t>‎16.37%‎</w:t>
            </w:r>
          </w:p>
        </w:tc>
      </w:tr>
      <w:tr>
        <w:tc>
          <w:tcPr>
            <w:tcW w:type="dxa" w:w="3326"/>
          </w:tcPr>
          <w:p>
            <w:pPr>
              <w:bidi w:val="1"/>
              <w:spacing w:before="0" w:after="0" w:line="264" w:lineRule="auto"/>
            </w:pPr>
            <w:r>
              <w:rPr>
                <w:rFonts w:ascii="Arial" w:hAnsi="Arial" w:cs="Arial" w:eastAsia="Arial"/>
                <w:color w:val="0E1E3A"/>
                <w:sz w:val="17"/>
                <w:szCs w:val="17"/>
                <w:rtl/>
              </w:rPr>
              <w:t>الأرباح الموزعة من صافي قيمة الأصول**</w:t>
            </w:r>
          </w:p>
        </w:tc>
        <w:tc>
          <w:tcPr>
            <w:tcW w:type="dxa" w:w="3326"/>
          </w:tcPr>
          <w:p>
            <w:pPr>
              <w:bidi w:val="1"/>
              <w:spacing w:before="0" w:after="0" w:line="264" w:lineRule="auto"/>
            </w:pPr>
            <w:r>
              <w:rPr>
                <w:rFonts w:ascii="Arial" w:hAnsi="Arial" w:cs="Arial" w:eastAsia="Arial"/>
                <w:color w:val="0E1E3A"/>
                <w:sz w:val="17"/>
                <w:szCs w:val="17"/>
                <w:rtl/>
              </w:rPr>
              <w:t>10,690,972 ر.س.</w:t>
            </w:r>
          </w:p>
        </w:tc>
        <w:tc>
          <w:tcPr>
            <w:tcW w:type="dxa" w:w="3326"/>
          </w:tcPr>
          <w:p>
            <w:pPr>
              <w:bidi w:val="1"/>
              <w:spacing w:before="0" w:after="0" w:line="264" w:lineRule="auto"/>
            </w:pPr>
            <w:r>
              <w:rPr>
                <w:rFonts w:ascii="Arial" w:hAnsi="Arial" w:cs="Arial" w:eastAsia="Arial"/>
                <w:color w:val="0E1E3A"/>
                <w:sz w:val="17"/>
                <w:szCs w:val="17"/>
              </w:rPr>
              <w:t>‎3.44%‎</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متوسط صافي قيمة الأصول = 313,336,710 ريال سعودي</w:t>
      </w:r>
      <w:r>
        <w:br/>
      </w:r>
      <w:r>
        <w:rPr>
          <w:rFonts w:ascii="Arial" w:hAnsi="Arial" w:cs="Arial" w:eastAsia="Arial"/>
          <w:color w:val="5A6478"/>
          <w:sz w:val="17"/>
          <w:szCs w:val="17"/>
          <w:rtl/>
        </w:rPr>
        <w:t>** تم توزيع 0.35 ريال سعودي للوحدة عن الفترة من 1 يوليو 2025م إلى 31 ديسمبر 2025م -خلال الربع الاول من العام 2026م.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1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ح.</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ملكية تامة</w:t>
            </w:r>
          </w:p>
        </w:tc>
        <w:tc>
          <w:tcPr>
            <w:tcW w:type="dxa" w:w="6860"/>
          </w:tcPr>
          <w:p>
            <w:pPr>
              <w:bidi w:val="1"/>
              <w:spacing w:before="0" w:after="0" w:line="276" w:lineRule="auto"/>
            </w:pPr>
            <w:r>
              <w:rPr>
                <w:rFonts w:ascii="Arial" w:hAnsi="Arial" w:cs="Arial" w:eastAsia="Arial"/>
                <w:b/>
                <w:bCs/>
                <w:color w:val="0E1E3A"/>
                <w:sz w:val="18"/>
                <w:szCs w:val="18"/>
              </w:rPr>
              <w:t>‎100%‎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حق منفعة</w:t>
            </w:r>
          </w:p>
        </w:tc>
        <w:tc>
          <w:tcPr>
            <w:tcW w:type="dxa" w:w="6860"/>
          </w:tcPr>
          <w:p>
            <w:pPr>
              <w:bidi w:val="1"/>
              <w:spacing w:before="0" w:after="0" w:line="276" w:lineRule="auto"/>
            </w:pPr>
            <w:r>
              <w:rPr>
                <w:rFonts w:ascii="Arial" w:hAnsi="Arial" w:cs="Arial" w:eastAsia="Arial"/>
                <w:b/>
                <w:bCs/>
                <w:color w:val="0E1E3A"/>
                <w:sz w:val="18"/>
                <w:szCs w:val="18"/>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0" name="Picture 901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ط.</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إخلاء مسؤولية:</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2030 المتداول"، ولا تشكل الوثيقة (أو أي جزءٍ منها) أساسا، ولا ينبغي الاعتماد عليها للقيام بما تقدم، أو محفزا لإبرام أي تعاقد مهما كان نوعه. ويجب على المستثمرين المحتملين قراءة شروط وأحكام صندوق "الخبير للدخل المتنوع 2030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ويعد استثمار المستثمر في الصندوق إقرارا منه باطلاعه على شروط وأحكام الصندوق وقبوله بها. وتنتفي المسؤولية عن مدير الصندوق، أو أي من تابعيه في حال وقوع أية خسارة مالية للصندوق، ما لم يكن ذلك ناتجا عن أسباب متعمدة من قبل مدير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1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ي.</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أكبر عشرة استثمارات للصندوق:</w:t>
      </w:r>
    </w:p>
    <w:p>
      <w:pPr>
        <w:bidi w:val="1"/>
        <w:spacing w:before="0" w:after="80" w:line="240" w:lineRule="auto"/>
        <w:jc w:val="center"/>
      </w:pPr>
      <w:r>
        <w:drawing>
          <wp:inline xmlns:a="http://schemas.openxmlformats.org/drawingml/2006/main" xmlns:pic="http://schemas.openxmlformats.org/drawingml/2006/picture">
            <wp:extent cx="6336000" cy="2911135"/>
            <wp:docPr id="12" name="Picture 9015"/>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2911135"/>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*كما في بداية الربع المعني</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16"/>
            <wp:cNvGraphicFramePr>
              <a:graphicFrameLocks noChangeAspect="1"/>
            </wp:cNvGraphicFramePr>
            <a:graphic>
              <a:graphicData uri="http://schemas.openxmlformats.org/drawingml/2006/picture">
                <pic:pic>
                  <pic:nvPicPr>
                    <pic:cNvPr id="0" name="ico_737e94dc9d8d67dbf235ae564951a5f7.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ك.</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 الأرباح الموزعة على مالكي الوحدات (إن وُجدت)، بحسب الآتي: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في الربع الأول</w:t>
            </w:r>
          </w:p>
        </w:tc>
        <w:tc>
          <w:tcPr>
            <w:tcW w:type="dxa" w:w="6860"/>
          </w:tcPr>
          <w:p>
            <w:pPr>
              <w:bidi w:val="1"/>
              <w:spacing w:before="0" w:after="0" w:line="276" w:lineRule="auto"/>
            </w:pPr>
            <w:r>
              <w:rPr>
                <w:rFonts w:ascii="Arial" w:hAnsi="Arial" w:cs="Arial" w:eastAsia="Arial"/>
                <w:b/>
                <w:bCs/>
                <w:color w:val="0E1E3A"/>
                <w:sz w:val="18"/>
                <w:szCs w:val="18"/>
                <w:rtl/>
              </w:rPr>
              <w:t>10,690,972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 التي تم التوزيع لها خلال الربع الأول</w:t>
            </w:r>
          </w:p>
        </w:tc>
        <w:tc>
          <w:tcPr>
            <w:tcW w:type="dxa" w:w="6860"/>
          </w:tcPr>
          <w:p>
            <w:pPr>
              <w:bidi w:val="1"/>
              <w:spacing w:before="0" w:after="0" w:line="276" w:lineRule="auto"/>
            </w:pPr>
            <w:r>
              <w:rPr>
                <w:rFonts w:ascii="Arial" w:hAnsi="Arial" w:cs="Arial" w:eastAsia="Arial"/>
                <w:b/>
                <w:bCs/>
                <w:color w:val="0E1E3A"/>
                <w:sz w:val="18"/>
                <w:szCs w:val="18"/>
                <w:rtl/>
              </w:rPr>
              <w:t>30,545,635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الربح الموزع لكل وحدة خلال الربع الأول</w:t>
            </w:r>
          </w:p>
        </w:tc>
        <w:tc>
          <w:tcPr>
            <w:tcW w:type="dxa" w:w="6860"/>
          </w:tcPr>
          <w:p>
            <w:pPr>
              <w:bidi w:val="1"/>
              <w:spacing w:before="0" w:after="0" w:line="276" w:lineRule="auto"/>
            </w:pPr>
            <w:r>
              <w:rPr>
                <w:rFonts w:ascii="Arial" w:hAnsi="Arial" w:cs="Arial" w:eastAsia="Arial"/>
                <w:b/>
                <w:bCs/>
                <w:color w:val="0E1E3A"/>
                <w:sz w:val="18"/>
                <w:szCs w:val="18"/>
                <w:rtl/>
              </w:rPr>
              <w:t>0.35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التوزيعات من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‎3.44%‎</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أحقية التوزيعات النقدية التي تم توزيعها خلال الربع المعني</w:t>
            </w:r>
          </w:p>
        </w:tc>
        <w:tc>
          <w:tcPr>
            <w:tcW w:type="dxa" w:w="6860"/>
          </w:tcPr>
          <w:p>
            <w:pPr>
              <w:bidi w:val="1"/>
              <w:spacing w:before="0" w:after="0" w:line="276" w:lineRule="auto"/>
            </w:pPr>
            <w:r>
              <w:rPr>
                <w:rFonts w:ascii="Arial" w:hAnsi="Arial" w:cs="Arial" w:eastAsia="Arial"/>
                <w:b/>
                <w:bCs/>
                <w:color w:val="0E1E3A"/>
                <w:sz w:val="18"/>
                <w:szCs w:val="18"/>
                <w:rtl/>
              </w:rPr>
              <w:t>لمالكي الوحدات حسب سجل مالكي الوحدات بنهاية يوم الأحد 27 شعبان 1447ه الموافق 15 فبراير 2026م (نهاية تداول يوم الأربعاء 23 شعبان 1447ه الموافق 11 فبراير 2026م).</w:t>
            </w:r>
          </w:p>
        </w:tc>
      </w:tr>
    </w:tbl>
    <w:p>
      <w:pPr>
        <w:bidi w:val="1"/>
        <w:spacing w:before="0" w:after="40" w:line="300" w:lineRule="auto"/>
      </w:pP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سيقوم مدير الصندوق بتوزيع عوائد استثمارات الصندوق بعد خصم المصروفات والمخصصات والاحتياطيات على مالكي الوحدات مرتين في السنة. وذلك باستثناء الأرباح الرأس مالية الناتجة عن بيع الأصول المستثمر فيها، والتي قد يتم إعادة استثمارها في أصول أخرى أو توزيع كل أو جزء منها وفقا لتقدير مدير الصندوق.</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وسيقوم الصندوق بتوزيع الأرباح خلال 40 يوم عمل من تاريخ آخر يوم من كل نصف سنة، وبنهاية كل سنة ميلادية؛ أي خلال شهري أغسطس وفبراير من كل سنة ميلادية. وسيتم إيداع أية أرباح نقدية موزعة في الحساب الاستثماري الخاص لمالك الوحدات. يجوز لمدير الصندوق توزيع عوائد استثمارات الصندوق بعد خصم المصروفات والمخصصات على مالكي الوحدات أكثر من مرتين في السنة وفق تقديره.</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1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ل.</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التصنيف الائتماني لأدوات الدين المستثمّر فيها لأكبر عشرة استثمارات للصندوق، وذلك بحسب الآتي: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التصنيف الائتماني لأداة الدين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التصنيف الائتماني لمصدر أداة الدين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اسم وكالة التصنيف الائتماني المانحة للتصنيف الائتماني</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تاريخ التصنيف الائتماني</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18"/>
            <wp:cNvGraphicFramePr>
              <a:graphicFrameLocks noChangeAspect="1"/>
            </wp:cNvGraphicFramePr>
            <a:graphic>
              <a:graphicData uri="http://schemas.openxmlformats.org/drawingml/2006/picture">
                <pic:pic>
                  <pic:nvPicPr>
                    <pic:cNvPr id="0" name="ico_737e94dc9d8d67dbf235ae564951a5f7.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م.</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توزيع أصول الصندوق (قطاعي/جغرافي):</w:t>
      </w:r>
    </w:p>
    <w:p>
      <w:pPr>
        <w:bidi w:val="1"/>
        <w:spacing w:before="0" w:after="80" w:line="240" w:lineRule="auto"/>
        <w:jc w:val="center"/>
      </w:pPr>
      <w:r>
        <w:drawing>
          <wp:inline xmlns:a="http://schemas.openxmlformats.org/drawingml/2006/main" xmlns:pic="http://schemas.openxmlformats.org/drawingml/2006/picture">
            <wp:extent cx="6336000" cy="1969297"/>
            <wp:docPr id="16" name="Picture 9019"/>
            <wp:cNvGraphicFramePr>
              <a:graphicFrameLocks noChangeAspect="1"/>
            </wp:cNvGraphicFramePr>
            <a:graphic>
              <a:graphicData uri="http://schemas.openxmlformats.org/drawingml/2006/picture">
                <pic:pic>
                  <pic:nvPicPr>
                    <pic:cNvPr id="0" name="x3.j.jpg"/>
                    <pic:cNvPicPr/>
                  </pic:nvPicPr>
                  <pic:blipFill>
                    <a:blip r:embed="rId18"/>
                    <a:stretch>
                      <a:fillRect/>
                    </a:stretch>
                  </pic:blipFill>
                  <pic:spPr>
                    <a:xfrm>
                      <a:off x="0" y="0"/>
                      <a:ext cx="6336000" cy="1969297"/>
                    </a:xfrm>
                    <a:prstGeom prst="rect"/>
                  </pic:spPr>
                </pic:pic>
              </a:graphicData>
            </a:graphic>
          </wp:inline>
        </w:drawing>
      </w:r>
    </w:p>
    <w:p>
      <w:pPr>
        <w:bidi w:val="1"/>
        <w:spacing w:before="0" w:after="80" w:line="240" w:lineRule="auto"/>
        <w:jc w:val="center"/>
      </w:pPr>
      <w:r>
        <w:drawing>
          <wp:inline xmlns:a="http://schemas.openxmlformats.org/drawingml/2006/main" xmlns:pic="http://schemas.openxmlformats.org/drawingml/2006/picture">
            <wp:extent cx="6336000" cy="1978811"/>
            <wp:docPr id="17" name="Picture 9020"/>
            <wp:cNvGraphicFramePr>
              <a:graphicFrameLocks noChangeAspect="1"/>
            </wp:cNvGraphicFramePr>
            <a:graphic>
              <a:graphicData uri="http://schemas.openxmlformats.org/drawingml/2006/picture">
                <pic:pic>
                  <pic:nvPicPr>
                    <pic:cNvPr id="0" name="x4.j.jpg"/>
                    <pic:cNvPicPr/>
                  </pic:nvPicPr>
                  <pic:blipFill>
                    <a:blip r:embed="rId19"/>
                    <a:stretch>
                      <a:fillRect/>
                    </a:stretch>
                  </pic:blipFill>
                  <pic:spPr>
                    <a:xfrm>
                      <a:off x="0" y="0"/>
                      <a:ext cx="6336000" cy="1978811"/>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*كما في بداية الربع المعني</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21"/>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ن.</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العائد: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(نهاية الربع الأول)</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لصافي قيمة الوحدة "أداء الصندوق" *</w:t>
            </w:r>
          </w:p>
        </w:tc>
        <w:tc>
          <w:tcPr>
            <w:tcW w:type="dxa" w:w="1663"/>
          </w:tcPr>
          <w:p>
            <w:pPr>
              <w:bidi w:val="1"/>
              <w:spacing w:before="0" w:after="0" w:line="264" w:lineRule="auto"/>
            </w:pPr>
            <w:r>
              <w:rPr>
                <w:rFonts w:ascii="Arial" w:hAnsi="Arial" w:cs="Arial" w:eastAsia="Arial"/>
                <w:color w:val="0E1E3A"/>
                <w:sz w:val="17"/>
                <w:szCs w:val="17"/>
              </w:rPr>
              <w:t>‎1.68%‎</w:t>
            </w:r>
          </w:p>
        </w:tc>
        <w:tc>
          <w:tcPr>
            <w:tcW w:type="dxa" w:w="1663"/>
          </w:tcPr>
          <w:p>
            <w:pPr>
              <w:bidi w:val="1"/>
              <w:spacing w:before="0" w:after="0" w:line="264" w:lineRule="auto"/>
            </w:pPr>
            <w:r>
              <w:rPr>
                <w:rFonts w:ascii="Arial" w:hAnsi="Arial" w:cs="Arial" w:eastAsia="Arial"/>
                <w:color w:val="0E1E3A"/>
                <w:sz w:val="17"/>
                <w:szCs w:val="17"/>
              </w:rPr>
              <w:t>‎1.68%‎</w:t>
            </w:r>
          </w:p>
        </w:tc>
        <w:tc>
          <w:tcPr>
            <w:tcW w:type="dxa" w:w="1663"/>
          </w:tcPr>
          <w:p>
            <w:pPr>
              <w:bidi w:val="1"/>
              <w:spacing w:before="0" w:after="0" w:line="264" w:lineRule="auto"/>
            </w:pPr>
            <w:r>
              <w:rPr>
                <w:rFonts w:ascii="Arial" w:hAnsi="Arial" w:cs="Arial" w:eastAsia="Arial"/>
                <w:color w:val="0E1E3A"/>
                <w:sz w:val="17"/>
                <w:szCs w:val="17"/>
              </w:rPr>
              <w:t>‎7.53%‎</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‎1.06%‎</w:t>
            </w:r>
          </w:p>
        </w:tc>
        <w:tc>
          <w:tcPr>
            <w:tcW w:type="dxa" w:w="1663"/>
          </w:tcPr>
          <w:p>
            <w:pPr>
              <w:bidi w:val="1"/>
              <w:spacing w:before="0" w:after="0" w:line="264" w:lineRule="auto"/>
            </w:pPr>
            <w:r>
              <w:rPr>
                <w:rFonts w:ascii="Arial" w:hAnsi="Arial" w:cs="Arial" w:eastAsia="Arial"/>
                <w:color w:val="0E1E3A"/>
                <w:sz w:val="17"/>
                <w:szCs w:val="17"/>
              </w:rPr>
              <w:t>‎1.06%‎</w:t>
            </w:r>
          </w:p>
        </w:tc>
        <w:tc>
          <w:tcPr>
            <w:tcW w:type="dxa" w:w="1663"/>
          </w:tcPr>
          <w:p>
            <w:pPr>
              <w:bidi w:val="1"/>
              <w:spacing w:before="0" w:after="0" w:line="264" w:lineRule="auto"/>
            </w:pPr>
            <w:r>
              <w:rPr>
                <w:rFonts w:ascii="Arial" w:hAnsi="Arial" w:cs="Arial" w:eastAsia="Arial"/>
                <w:color w:val="0E1E3A"/>
                <w:sz w:val="17"/>
                <w:szCs w:val="17"/>
              </w:rPr>
              <w:t>‎4.88%‎</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‎0.63%‎</w:t>
            </w:r>
          </w:p>
        </w:tc>
        <w:tc>
          <w:tcPr>
            <w:tcW w:type="dxa" w:w="1663"/>
          </w:tcPr>
          <w:p>
            <w:pPr>
              <w:bidi w:val="1"/>
              <w:spacing w:before="0" w:after="0" w:line="264" w:lineRule="auto"/>
            </w:pPr>
            <w:r>
              <w:rPr>
                <w:rFonts w:ascii="Arial" w:hAnsi="Arial" w:cs="Arial" w:eastAsia="Arial"/>
                <w:color w:val="0E1E3A"/>
                <w:sz w:val="17"/>
                <w:szCs w:val="17"/>
              </w:rPr>
              <w:t>‎0.63%‎</w:t>
            </w:r>
          </w:p>
        </w:tc>
        <w:tc>
          <w:tcPr>
            <w:tcW w:type="dxa" w:w="1663"/>
          </w:tcPr>
          <w:p>
            <w:pPr>
              <w:bidi w:val="1"/>
              <w:spacing w:before="0" w:after="0" w:line="264" w:lineRule="auto"/>
            </w:pPr>
            <w:r>
              <w:rPr>
                <w:rFonts w:ascii="Arial" w:hAnsi="Arial" w:cs="Arial" w:eastAsia="Arial"/>
                <w:color w:val="0E1E3A"/>
                <w:sz w:val="17"/>
                <w:szCs w:val="17"/>
              </w:rPr>
              <w:t>‎2.65%‎</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العائد الكلي = أداء صافي قيمة الوحدة بالإضافة إلى الأرباح الموزعة.</w:t>
      </w:r>
      <w:r>
        <w:br/>
      </w:r>
      <w:r>
        <w:rPr>
          <w:rFonts w:ascii="Arial" w:hAnsi="Arial" w:cs="Arial" w:eastAsia="Arial"/>
          <w:color w:val="5A6478"/>
          <w:sz w:val="17"/>
          <w:szCs w:val="17"/>
          <w:rtl/>
        </w:rPr>
        <w:t>**عن الفترة من 1 يناير 2026م إلى 31 مارس 2026م.</w:t>
      </w:r>
      <w:r>
        <w:br/>
      </w:r>
      <w:r>
        <w:rPr>
          <w:rFonts w:ascii="Arial" w:hAnsi="Arial" w:cs="Arial" w:eastAsia="Arial"/>
          <w:color w:val="5A6478"/>
          <w:sz w:val="17"/>
          <w:szCs w:val="17"/>
          <w:rtl/>
        </w:rPr>
        <w:t>*** عن الفترة من 31 مارس 2025م إلى 31 مارس 2026م.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22"/>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س.</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(نهاية الربع الأول)</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w:t>
            </w:r>
          </w:p>
        </w:tc>
        <w:tc>
          <w:tcPr>
            <w:tcW w:type="dxa" w:w="1663"/>
          </w:tcPr>
          <w:p>
            <w:pPr>
              <w:bidi w:val="1"/>
              <w:spacing w:before="0" w:after="0" w:line="264" w:lineRule="auto"/>
            </w:pPr>
            <w:r>
              <w:rPr>
                <w:rFonts w:ascii="Arial" w:hAnsi="Arial" w:cs="Arial" w:eastAsia="Arial"/>
                <w:color w:val="0E1E3A"/>
                <w:sz w:val="17"/>
                <w:szCs w:val="17"/>
                <w:rtl/>
              </w:rPr>
              <w:t>13.71</w:t>
            </w:r>
          </w:p>
        </w:tc>
        <w:tc>
          <w:tcPr>
            <w:tcW w:type="dxa" w:w="1663"/>
          </w:tcPr>
          <w:p>
            <w:pPr>
              <w:bidi w:val="1"/>
              <w:spacing w:before="0" w:after="0" w:line="264" w:lineRule="auto"/>
            </w:pPr>
            <w:r>
              <w:rPr>
                <w:rFonts w:ascii="Arial" w:hAnsi="Arial" w:cs="Arial" w:eastAsia="Arial"/>
                <w:color w:val="0E1E3A"/>
                <w:sz w:val="17"/>
                <w:szCs w:val="17"/>
                <w:rtl/>
              </w:rPr>
              <w:t>13.71</w:t>
            </w:r>
          </w:p>
        </w:tc>
        <w:tc>
          <w:tcPr>
            <w:tcW w:type="dxa" w:w="1663"/>
          </w:tcPr>
          <w:p>
            <w:pPr>
              <w:bidi w:val="1"/>
              <w:spacing w:before="0" w:after="0" w:line="264" w:lineRule="auto"/>
            </w:pPr>
            <w:r>
              <w:rPr>
                <w:rFonts w:ascii="Arial" w:hAnsi="Arial" w:cs="Arial" w:eastAsia="Arial"/>
                <w:color w:val="0E1E3A"/>
                <w:sz w:val="17"/>
                <w:szCs w:val="17"/>
                <w:rtl/>
              </w:rPr>
              <w:t>8.82</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w:t>
            </w:r>
          </w:p>
        </w:tc>
        <w:tc>
          <w:tcPr>
            <w:tcW w:type="dxa" w:w="1663"/>
          </w:tcPr>
          <w:p>
            <w:pPr>
              <w:bidi w:val="1"/>
              <w:spacing w:before="0" w:after="0" w:line="264" w:lineRule="auto"/>
            </w:pPr>
            <w:r>
              <w:rPr>
                <w:rFonts w:ascii="Arial" w:hAnsi="Arial" w:cs="Arial" w:eastAsia="Arial"/>
                <w:color w:val="0E1E3A"/>
                <w:sz w:val="17"/>
                <w:szCs w:val="17"/>
                <w:rtl/>
              </w:rPr>
              <w:t>1.71</w:t>
            </w:r>
          </w:p>
        </w:tc>
        <w:tc>
          <w:tcPr>
            <w:tcW w:type="dxa" w:w="1663"/>
          </w:tcPr>
          <w:p>
            <w:pPr>
              <w:bidi w:val="1"/>
              <w:spacing w:before="0" w:after="0" w:line="264" w:lineRule="auto"/>
            </w:pPr>
            <w:r>
              <w:rPr>
                <w:rFonts w:ascii="Arial" w:hAnsi="Arial" w:cs="Arial" w:eastAsia="Arial"/>
                <w:color w:val="0E1E3A"/>
                <w:sz w:val="17"/>
                <w:szCs w:val="17"/>
                <w:rtl/>
              </w:rPr>
              <w:t>1.71</w:t>
            </w:r>
          </w:p>
        </w:tc>
        <w:tc>
          <w:tcPr>
            <w:tcW w:type="dxa" w:w="1663"/>
          </w:tcPr>
          <w:p>
            <w:pPr>
              <w:bidi w:val="1"/>
              <w:spacing w:before="0" w:after="0" w:line="264" w:lineRule="auto"/>
            </w:pPr>
            <w:r>
              <w:rPr>
                <w:rFonts w:ascii="Arial" w:hAnsi="Arial" w:cs="Arial" w:eastAsia="Arial"/>
                <w:color w:val="0E1E3A"/>
                <w:sz w:val="17"/>
                <w:szCs w:val="17"/>
                <w:rtl/>
              </w:rPr>
              <w:t>1.09</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 (Tracking Error)</w:t>
            </w:r>
          </w:p>
        </w:tc>
        <w:tc>
          <w:tcPr>
            <w:tcW w:type="dxa" w:w="1663"/>
          </w:tcPr>
          <w:p>
            <w:pPr>
              <w:bidi w:val="1"/>
              <w:spacing w:before="0" w:after="0" w:line="264" w:lineRule="auto"/>
            </w:pPr>
            <w:r>
              <w:rPr>
                <w:rFonts w:ascii="Arial" w:hAnsi="Arial" w:cs="Arial" w:eastAsia="Arial"/>
                <w:color w:val="0E1E3A"/>
                <w:sz w:val="17"/>
                <w:szCs w:val="17"/>
                <w:rtl/>
              </w:rPr>
              <w:t>0.14</w:t>
            </w:r>
          </w:p>
        </w:tc>
        <w:tc>
          <w:tcPr>
            <w:tcW w:type="dxa" w:w="1663"/>
          </w:tcPr>
          <w:p>
            <w:pPr>
              <w:bidi w:val="1"/>
              <w:spacing w:before="0" w:after="0" w:line="264" w:lineRule="auto"/>
            </w:pPr>
            <w:r>
              <w:rPr>
                <w:rFonts w:ascii="Arial" w:hAnsi="Arial" w:cs="Arial" w:eastAsia="Arial"/>
                <w:color w:val="0E1E3A"/>
                <w:sz w:val="17"/>
                <w:szCs w:val="17"/>
                <w:rtl/>
              </w:rPr>
              <w:t>0.14</w:t>
            </w:r>
          </w:p>
        </w:tc>
        <w:tc>
          <w:tcPr>
            <w:tcW w:type="dxa" w:w="1663"/>
          </w:tcPr>
          <w:p>
            <w:pPr>
              <w:bidi w:val="1"/>
              <w:spacing w:before="0" w:after="0" w:line="264" w:lineRule="auto"/>
            </w:pPr>
            <w:r>
              <w:rPr>
                <w:rFonts w:ascii="Arial" w:hAnsi="Arial" w:cs="Arial" w:eastAsia="Arial"/>
                <w:color w:val="0E1E3A"/>
                <w:sz w:val="17"/>
                <w:szCs w:val="17"/>
                <w:rtl/>
              </w:rPr>
              <w:t>0.09</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 (Beta)</w:t>
            </w:r>
          </w:p>
        </w:tc>
        <w:tc>
          <w:tcPr>
            <w:tcW w:type="dxa" w:w="1663"/>
          </w:tcPr>
          <w:p>
            <w:pPr>
              <w:bidi w:val="1"/>
              <w:spacing w:before="0" w:after="0" w:line="264" w:lineRule="auto"/>
            </w:pPr>
            <w:r>
              <w:rPr>
                <w:rFonts w:ascii="Arial" w:hAnsi="Arial" w:cs="Arial" w:eastAsia="Arial"/>
                <w:color w:val="0E1E3A"/>
                <w:sz w:val="17"/>
                <w:szCs w:val="17"/>
                <w:rtl/>
              </w:rPr>
              <w:t>29.00-</w:t>
            </w:r>
          </w:p>
        </w:tc>
        <w:tc>
          <w:tcPr>
            <w:tcW w:type="dxa" w:w="1663"/>
          </w:tcPr>
          <w:p>
            <w:pPr>
              <w:bidi w:val="1"/>
              <w:spacing w:before="0" w:after="0" w:line="264" w:lineRule="auto"/>
            </w:pPr>
            <w:r>
              <w:rPr>
                <w:rFonts w:ascii="Arial" w:hAnsi="Arial" w:cs="Arial" w:eastAsia="Arial"/>
                <w:color w:val="0E1E3A"/>
                <w:sz w:val="17"/>
                <w:szCs w:val="17"/>
                <w:rtl/>
              </w:rPr>
              <w:t>29.00-</w:t>
            </w:r>
          </w:p>
        </w:tc>
        <w:tc>
          <w:tcPr>
            <w:tcW w:type="dxa" w:w="1663"/>
          </w:tcPr>
          <w:p>
            <w:pPr>
              <w:bidi w:val="1"/>
              <w:spacing w:before="0" w:after="0" w:line="264" w:lineRule="auto"/>
            </w:pPr>
            <w:r>
              <w:rPr>
                <w:rFonts w:ascii="Arial" w:hAnsi="Arial" w:cs="Arial" w:eastAsia="Arial"/>
                <w:color w:val="0E1E3A"/>
                <w:sz w:val="17"/>
                <w:szCs w:val="17"/>
                <w:rtl/>
              </w:rPr>
              <w:t>26.67-</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 (Alpha)</w:t>
            </w:r>
          </w:p>
        </w:tc>
        <w:tc>
          <w:tcPr>
            <w:tcW w:type="dxa" w:w="1663"/>
          </w:tcPr>
          <w:p>
            <w:pPr>
              <w:bidi w:val="1"/>
              <w:spacing w:before="0" w:after="0" w:line="264" w:lineRule="auto"/>
            </w:pPr>
            <w:r>
              <w:rPr>
                <w:rFonts w:ascii="Arial" w:hAnsi="Arial" w:cs="Arial" w:eastAsia="Arial"/>
                <w:color w:val="0E1E3A"/>
                <w:sz w:val="17"/>
                <w:szCs w:val="17"/>
                <w:rtl/>
              </w:rPr>
              <w:t>1.53</w:t>
            </w:r>
          </w:p>
        </w:tc>
        <w:tc>
          <w:tcPr>
            <w:tcW w:type="dxa" w:w="1663"/>
          </w:tcPr>
          <w:p>
            <w:pPr>
              <w:bidi w:val="1"/>
              <w:spacing w:before="0" w:after="0" w:line="264" w:lineRule="auto"/>
            </w:pPr>
            <w:r>
              <w:rPr>
                <w:rFonts w:ascii="Arial" w:hAnsi="Arial" w:cs="Arial" w:eastAsia="Arial"/>
                <w:color w:val="0E1E3A"/>
                <w:sz w:val="17"/>
                <w:szCs w:val="17"/>
                <w:rtl/>
              </w:rPr>
              <w:t>1.53</w:t>
            </w:r>
          </w:p>
        </w:tc>
        <w:tc>
          <w:tcPr>
            <w:tcW w:type="dxa" w:w="1663"/>
          </w:tcPr>
          <w:p>
            <w:pPr>
              <w:bidi w:val="1"/>
              <w:spacing w:before="0" w:after="0" w:line="264" w:lineRule="auto"/>
            </w:pPr>
            <w:r>
              <w:rPr>
                <w:rFonts w:ascii="Arial" w:hAnsi="Arial" w:cs="Arial" w:eastAsia="Arial"/>
                <w:color w:val="0E1E3A"/>
                <w:sz w:val="17"/>
                <w:szCs w:val="17"/>
                <w:rtl/>
              </w:rPr>
              <w:t>1.32</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w:t>
            </w:r>
          </w:p>
        </w:tc>
        <w:tc>
          <w:tcPr>
            <w:tcW w:type="dxa" w:w="1663"/>
          </w:tcPr>
          <w:p>
            <w:pPr>
              <w:bidi w:val="1"/>
              <w:spacing w:before="0" w:after="0" w:line="264" w:lineRule="auto"/>
            </w:pPr>
            <w:r>
              <w:rPr>
                <w:rFonts w:ascii="Arial" w:hAnsi="Arial" w:cs="Arial" w:eastAsia="Arial"/>
                <w:color w:val="0E1E3A"/>
                <w:sz w:val="17"/>
                <w:szCs w:val="17"/>
                <w:rtl/>
              </w:rPr>
              <w:t>1.59</w:t>
            </w:r>
          </w:p>
        </w:tc>
        <w:tc>
          <w:tcPr>
            <w:tcW w:type="dxa" w:w="1663"/>
          </w:tcPr>
          <w:p>
            <w:pPr>
              <w:bidi w:val="1"/>
              <w:spacing w:before="0" w:after="0" w:line="264" w:lineRule="auto"/>
            </w:pPr>
            <w:r>
              <w:rPr>
                <w:rFonts w:ascii="Arial" w:hAnsi="Arial" w:cs="Arial" w:eastAsia="Arial"/>
                <w:color w:val="0E1E3A"/>
                <w:sz w:val="17"/>
                <w:szCs w:val="17"/>
                <w:rtl/>
              </w:rPr>
              <w:t>1.59</w:t>
            </w:r>
          </w:p>
        </w:tc>
        <w:tc>
          <w:tcPr>
            <w:tcW w:type="dxa" w:w="1663"/>
          </w:tcPr>
          <w:p>
            <w:pPr>
              <w:bidi w:val="1"/>
              <w:spacing w:before="0" w:after="0" w:line="264" w:lineRule="auto"/>
            </w:pPr>
            <w:r>
              <w:rPr>
                <w:rFonts w:ascii="Arial" w:hAnsi="Arial" w:cs="Arial" w:eastAsia="Arial"/>
                <w:color w:val="0E1E3A"/>
                <w:sz w:val="17"/>
                <w:szCs w:val="17"/>
                <w:rtl/>
              </w:rPr>
              <w:t>1.64</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*عن الفترة من 1 يناير 2026م إلى 31 مارس 2026م.</w:t>
      </w:r>
      <w:r>
        <w:br/>
      </w:r>
      <w:r>
        <w:rPr>
          <w:rFonts w:ascii="Arial" w:hAnsi="Arial" w:cs="Arial" w:eastAsia="Arial"/>
          <w:color w:val="5A6478"/>
          <w:sz w:val="17"/>
          <w:szCs w:val="17"/>
          <w:rtl/>
        </w:rPr>
        <w:t>** عن الفترة من 31 مارس 2025م إلى 31 مارس 2026م.</w:t>
      </w:r>
      <w:r>
        <w:br/>
      </w:r>
      <w:r>
        <w:rPr>
          <w:rFonts w:ascii="Arial" w:hAnsi="Arial" w:cs="Arial" w:eastAsia="Arial"/>
          <w:color w:val="5A6478"/>
          <w:sz w:val="17"/>
          <w:szCs w:val="17"/>
          <w:rtl/>
        </w:rPr>
        <w:t>*** لا ينطبق كما في تاريخ الإدراج 17 يوليو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23"/>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ع.</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 المعادلات المستخدمة لاحتساب معايير 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tcPr>
          <w:p>
            <w:pPr>
              <w:bidi w:val="1"/>
              <w:spacing w:before="0" w:after="0" w:line="264" w:lineRule="auto"/>
            </w:pPr>
            <w:r>
              <w:rPr>
                <w:rFonts w:ascii="Arial" w:hAnsi="Arial" w:cs="Arial" w:eastAsia="Arial"/>
                <w:color w:val="0E1E3A"/>
                <w:sz w:val="17"/>
                <w:szCs w:val="17"/>
                <w:rtl/>
              </w:rPr>
              <w:t>الانحراف المعياري</w:t>
            </w:r>
          </w:p>
        </w:tc>
        <w:tc>
          <w:tcPr>
            <w:tcW w:type="dxa" w:w="3326"/>
          </w:tcPr>
          <w:p>
            <w:pPr>
              <w:bidi w:val="1"/>
              <w:spacing w:before="0" w:after="0" w:line="264" w:lineRule="auto"/>
            </w:pPr>
            <w:r>
              <w:rPr>
                <w:rFonts w:ascii="Arial" w:hAnsi="Arial" w:cs="Arial" w:eastAsia="Arial"/>
                <w:color w:val="0E1E3A"/>
                <w:sz w:val="17"/>
                <w:szCs w:val="17"/>
                <w:rtl/>
              </w:rPr>
              <w:t>σp = √[ 1/(N − 1) · Σ(Rp,i − Rp)² ]</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Rp,i = Portfolio return in period i</w:t>
            </w:r>
            <w:r>
              <w:br/>
            </w:r>
            <w:r>
              <w:rPr>
                <w:rFonts w:ascii="Arial" w:hAnsi="Arial" w:cs="Arial" w:eastAsia="Arial"/>
                <w:color w:val="0E1E3A"/>
                <w:sz w:val="17"/>
                <w:szCs w:val="17"/>
                <w:rtl/>
              </w:rPr>
              <w:t>Rp = Average portfolio return</w:t>
            </w:r>
            <w:r>
              <w:br/>
            </w:r>
            <w:r>
              <w:rPr>
                <w:rFonts w:ascii="Arial" w:hAnsi="Arial" w:cs="Arial" w:eastAsia="Arial"/>
                <w:color w:val="0E1E3A"/>
                <w:sz w:val="17"/>
                <w:szCs w:val="17"/>
                <w:rtl/>
              </w:rPr>
              <w:t>N = Number of periods</w:t>
            </w:r>
          </w:p>
        </w:tc>
      </w:tr>
      <w:tr>
        <w:tc>
          <w:tcPr>
            <w:tcW w:type="dxa" w:w="3326"/>
          </w:tcPr>
          <w:p>
            <w:pPr>
              <w:bidi w:val="1"/>
              <w:spacing w:before="0" w:after="0" w:line="264" w:lineRule="auto"/>
            </w:pPr>
            <w:r>
              <w:rPr>
                <w:rFonts w:ascii="Arial" w:hAnsi="Arial" w:cs="Arial" w:eastAsia="Arial"/>
                <w:color w:val="0E1E3A"/>
                <w:sz w:val="17"/>
                <w:szCs w:val="17"/>
                <w:rtl/>
              </w:rPr>
              <w:t>مؤشر شارب</w:t>
            </w:r>
          </w:p>
        </w:tc>
        <w:tc>
          <w:tcPr>
            <w:tcW w:type="dxa" w:w="3326"/>
          </w:tcPr>
          <w:p>
            <w:pPr>
              <w:bidi w:val="1"/>
              <w:spacing w:before="0" w:after="0" w:line="264" w:lineRule="auto"/>
            </w:pPr>
            <w:r>
              <w:rPr>
                <w:rFonts w:ascii="Arial" w:hAnsi="Arial" w:cs="Arial" w:eastAsia="Arial"/>
                <w:color w:val="0E1E3A"/>
                <w:sz w:val="17"/>
                <w:szCs w:val="17"/>
                <w:rtl/>
              </w:rPr>
              <w:t>[(Average Annualised Return − Risk Free Rate) ÷ Standard Deviation]</w:t>
            </w:r>
          </w:p>
        </w:tc>
        <w:tc>
          <w:tcPr>
            <w:tcW w:type="dxa" w:w="3326"/>
          </w:tcPr>
          <w:p>
            <w:pPr>
              <w:bidi w:val="1"/>
              <w:spacing w:before="0" w:after="0" w:line="264" w:lineRule="auto"/>
            </w:pPr>
          </w:p>
        </w:tc>
      </w:tr>
      <w:tr>
        <w:tc>
          <w:tcPr>
            <w:tcW w:type="dxa" w:w="3326"/>
          </w:tcPr>
          <w:p>
            <w:pPr>
              <w:bidi w:val="1"/>
              <w:spacing w:before="0" w:after="0" w:line="264" w:lineRule="auto"/>
            </w:pPr>
            <w:r>
              <w:rPr>
                <w:rFonts w:ascii="Arial" w:hAnsi="Arial" w:cs="Arial" w:eastAsia="Arial"/>
                <w:color w:val="0E1E3A"/>
                <w:sz w:val="17"/>
                <w:szCs w:val="17"/>
                <w:rtl/>
              </w:rPr>
              <w:t>خطأ التتبع (Tracking Error)</w:t>
            </w:r>
          </w:p>
        </w:tc>
        <w:tc>
          <w:tcPr>
            <w:tcW w:type="dxa" w:w="3326"/>
          </w:tcPr>
          <w:p>
            <w:pPr>
              <w:bidi w:val="1"/>
              <w:spacing w:before="0" w:after="0" w:line="264" w:lineRule="auto"/>
            </w:pPr>
            <w:r>
              <w:rPr>
                <w:rFonts w:ascii="Arial" w:hAnsi="Arial" w:cs="Arial" w:eastAsia="Arial"/>
                <w:color w:val="0E1E3A"/>
                <w:sz w:val="17"/>
                <w:szCs w:val="17"/>
                <w:rtl/>
              </w:rPr>
              <w:t>TE = √[ 1/(N − 1) · Σ[(Rp,i − Rb,i) − (Rp − Rb)]² ]</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Rp,i = Portfolio return in period i</w:t>
            </w:r>
            <w:r>
              <w:br/>
            </w:r>
            <w:r>
              <w:rPr>
                <w:rFonts w:ascii="Arial" w:hAnsi="Arial" w:cs="Arial" w:eastAsia="Arial"/>
                <w:color w:val="0E1E3A"/>
                <w:sz w:val="17"/>
                <w:szCs w:val="17"/>
                <w:rtl/>
              </w:rPr>
              <w:t>Rb,i = Portfolio return in period i</w:t>
            </w:r>
            <w:r>
              <w:br/>
            </w:r>
            <w:r>
              <w:rPr>
                <w:rFonts w:ascii="Arial" w:hAnsi="Arial" w:cs="Arial" w:eastAsia="Arial"/>
                <w:color w:val="0E1E3A"/>
                <w:sz w:val="17"/>
                <w:szCs w:val="17"/>
                <w:rtl/>
              </w:rPr>
              <w:t>Rp = Average portfolio return</w:t>
            </w:r>
            <w:r>
              <w:br/>
            </w:r>
            <w:r>
              <w:rPr>
                <w:rFonts w:ascii="Arial" w:hAnsi="Arial" w:cs="Arial" w:eastAsia="Arial"/>
                <w:color w:val="0E1E3A"/>
                <w:sz w:val="17"/>
                <w:szCs w:val="17"/>
                <w:rtl/>
              </w:rPr>
              <w:t>Rb = Average portfolio return</w:t>
            </w:r>
            <w:r>
              <w:br/>
            </w:r>
            <w:r>
              <w:rPr>
                <w:rFonts w:ascii="Arial" w:hAnsi="Arial" w:cs="Arial" w:eastAsia="Arial"/>
                <w:color w:val="0E1E3A"/>
                <w:sz w:val="17"/>
                <w:szCs w:val="17"/>
                <w:rtl/>
              </w:rPr>
              <w:t>N = Number of periods</w:t>
            </w:r>
          </w:p>
        </w:tc>
      </w:tr>
      <w:tr>
        <w:tc>
          <w:tcPr>
            <w:tcW w:type="dxa" w:w="3326"/>
          </w:tcPr>
          <w:p>
            <w:pPr>
              <w:bidi w:val="1"/>
              <w:spacing w:before="0" w:after="0" w:line="264" w:lineRule="auto"/>
            </w:pPr>
            <w:r>
              <w:rPr>
                <w:rFonts w:ascii="Arial" w:hAnsi="Arial" w:cs="Arial" w:eastAsia="Arial"/>
                <w:color w:val="0E1E3A"/>
                <w:sz w:val="17"/>
                <w:szCs w:val="17"/>
                <w:rtl/>
              </w:rPr>
              <w:t>بيتا (Beta)</w:t>
            </w:r>
          </w:p>
        </w:tc>
        <w:tc>
          <w:tcPr>
            <w:tcW w:type="dxa" w:w="3326"/>
          </w:tcPr>
          <w:p>
            <w:pPr>
              <w:bidi w:val="1"/>
              <w:spacing w:before="0" w:after="0" w:line="264" w:lineRule="auto"/>
            </w:pPr>
            <w:r>
              <w:rPr>
                <w:rFonts w:ascii="Arial" w:hAnsi="Arial" w:cs="Arial" w:eastAsia="Arial"/>
                <w:color w:val="0E1E3A"/>
                <w:sz w:val="17"/>
                <w:szCs w:val="17"/>
                <w:rtl/>
              </w:rPr>
              <w:t>β = Cov(Rp, Rb) / Var (Rb)</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Cov(Rp, Rb)= covariance between portfolio and benchmark returns</w:t>
            </w:r>
            <w:r>
              <w:br/>
            </w:r>
            <w:r>
              <w:rPr>
                <w:rFonts w:ascii="Arial" w:hAnsi="Arial" w:cs="Arial" w:eastAsia="Arial"/>
                <w:color w:val="0E1E3A"/>
                <w:sz w:val="17"/>
                <w:szCs w:val="17"/>
                <w:rtl/>
              </w:rPr>
              <w:t>Var (Rb)= variance of benchmark returns</w:t>
            </w:r>
          </w:p>
        </w:tc>
      </w:tr>
      <w:tr>
        <w:tc>
          <w:tcPr>
            <w:tcW w:type="dxa" w:w="3326"/>
          </w:tcPr>
          <w:p>
            <w:pPr>
              <w:bidi w:val="1"/>
              <w:spacing w:before="0" w:after="0" w:line="264" w:lineRule="auto"/>
            </w:pPr>
            <w:r>
              <w:rPr>
                <w:rFonts w:ascii="Arial" w:hAnsi="Arial" w:cs="Arial" w:eastAsia="Arial"/>
                <w:color w:val="0E1E3A"/>
                <w:sz w:val="17"/>
                <w:szCs w:val="17"/>
                <w:rtl/>
              </w:rPr>
              <w:t>ألفا (Alpha)</w:t>
            </w:r>
          </w:p>
        </w:tc>
        <w:tc>
          <w:tcPr>
            <w:tcW w:type="dxa" w:w="3326"/>
          </w:tcPr>
          <w:p>
            <w:pPr>
              <w:bidi w:val="1"/>
              <w:spacing w:before="0" w:after="0" w:line="264" w:lineRule="auto"/>
            </w:pPr>
            <w:r>
              <w:rPr>
                <w:rFonts w:ascii="Arial" w:hAnsi="Arial" w:cs="Arial" w:eastAsia="Arial"/>
                <w:color w:val="0E1E3A"/>
                <w:sz w:val="17"/>
                <w:szCs w:val="17"/>
                <w:rtl/>
              </w:rPr>
              <w:t>α = Rp − [ Rf + β ∗ (Rb − Rf)]</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 average portfolio return</w:t>
            </w:r>
            <w:r>
              <w:br/>
            </w:r>
            <w:r>
              <w:rPr>
                <w:rFonts w:ascii="Arial" w:hAnsi="Arial" w:cs="Arial" w:eastAsia="Arial"/>
                <w:color w:val="0E1E3A"/>
                <w:sz w:val="17"/>
                <w:szCs w:val="17"/>
                <w:rtl/>
              </w:rPr>
              <w:t>(Rb)= average benchmark return</w:t>
            </w:r>
            <w:r>
              <w:br/>
            </w:r>
            <w:r>
              <w:rPr>
                <w:rFonts w:ascii="Arial" w:hAnsi="Arial" w:cs="Arial" w:eastAsia="Arial"/>
                <w:color w:val="0E1E3A"/>
                <w:sz w:val="17"/>
                <w:szCs w:val="17"/>
                <w:rtl/>
              </w:rPr>
              <w:t>(Rf)= risk free rate</w:t>
            </w:r>
            <w:r>
              <w:br/>
            </w:r>
            <w:r>
              <w:rPr>
                <w:rFonts w:ascii="Arial" w:hAnsi="Arial" w:cs="Arial" w:eastAsia="Arial"/>
                <w:color w:val="0E1E3A"/>
                <w:sz w:val="17"/>
                <w:szCs w:val="17"/>
                <w:rtl/>
              </w:rPr>
              <w:t>β= portfolio beta</w:t>
            </w:r>
          </w:p>
        </w:tc>
      </w:tr>
      <w:tr>
        <w:tc>
          <w:tcPr>
            <w:tcW w:type="dxa" w:w="3326"/>
          </w:tcPr>
          <w:p>
            <w:pPr>
              <w:bidi w:val="1"/>
              <w:spacing w:before="0" w:after="0" w:line="264" w:lineRule="auto"/>
            </w:pPr>
            <w:r>
              <w:rPr>
                <w:rFonts w:ascii="Arial" w:hAnsi="Arial" w:cs="Arial" w:eastAsia="Arial"/>
                <w:color w:val="0E1E3A"/>
                <w:sz w:val="17"/>
                <w:szCs w:val="17"/>
                <w:rtl/>
              </w:rPr>
              <w:t>مؤشر المعلومات</w:t>
            </w:r>
          </w:p>
        </w:tc>
        <w:tc>
          <w:tcPr>
            <w:tcW w:type="dxa" w:w="3326"/>
          </w:tcPr>
          <w:p>
            <w:pPr>
              <w:bidi w:val="1"/>
              <w:spacing w:before="0" w:after="0" w:line="264" w:lineRule="auto"/>
            </w:pPr>
            <w:r>
              <w:rPr>
                <w:rFonts w:ascii="Arial" w:hAnsi="Arial" w:cs="Arial" w:eastAsia="Arial"/>
                <w:color w:val="0E1E3A"/>
                <w:sz w:val="17"/>
                <w:szCs w:val="17"/>
                <w:rtl/>
              </w:rPr>
              <w:t>IR = (Rp − Rb) / σ (Rp − Rb)</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 = Return of the portfolio</w:t>
            </w:r>
            <w:r>
              <w:br/>
            </w:r>
            <w:r>
              <w:rPr>
                <w:rFonts w:ascii="Arial" w:hAnsi="Arial" w:cs="Arial" w:eastAsia="Arial"/>
                <w:color w:val="0E1E3A"/>
                <w:sz w:val="17"/>
                <w:szCs w:val="17"/>
                <w:rtl/>
              </w:rPr>
              <w:t>Rb = Return of the benchmark</w:t>
            </w:r>
            <w:r>
              <w:br/>
            </w:r>
            <w:r>
              <w:rPr>
                <w:rFonts w:ascii="Arial" w:hAnsi="Arial" w:cs="Arial" w:eastAsia="Arial"/>
                <w:color w:val="0E1E3A"/>
                <w:sz w:val="17"/>
                <w:szCs w:val="17"/>
                <w:rtl/>
              </w:rPr>
              <w:t>Rp-Rb = Active return (the difference between portfolio and benchmark returns</w:t>
            </w:r>
            <w:r>
              <w:br/>
            </w:r>
            <w:r>
              <w:rPr>
                <w:rFonts w:ascii="Arial" w:hAnsi="Arial" w:cs="Arial" w:eastAsia="Arial"/>
                <w:color w:val="0E1E3A"/>
                <w:sz w:val="17"/>
                <w:szCs w:val="17"/>
                <w:rtl/>
              </w:rPr>
              <w:t>σ(Rp−Rb) = Tracking error (standard deviation of the active return)</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24"/>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ف.</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الأداء منذ بداية الصندوق:</w:t>
      </w:r>
    </w:p>
    <w:p>
      <w:pPr>
        <w:bidi w:val="1"/>
        <w:spacing w:before="0" w:after="80" w:line="240" w:lineRule="auto"/>
        <w:jc w:val="center"/>
      </w:pPr>
      <w:r>
        <w:drawing>
          <wp:inline xmlns:a="http://schemas.openxmlformats.org/drawingml/2006/main" xmlns:pic="http://schemas.openxmlformats.org/drawingml/2006/picture">
            <wp:extent cx="6336000" cy="2816000"/>
            <wp:docPr id="22" name="Picture 9025"/>
            <wp:cNvGraphicFramePr>
              <a:graphicFrameLocks noChangeAspect="1"/>
            </wp:cNvGraphicFramePr>
            <a:graphic>
              <a:graphicData uri="http://schemas.openxmlformats.org/drawingml/2006/picture">
                <pic:pic>
                  <pic:nvPicPr>
                    <pic:cNvPr id="0" name="x5.j.jpg"/>
                    <pic:cNvPicPr/>
                  </pic:nvPicPr>
                  <pic:blipFill>
                    <a:blip r:embed="rId22"/>
                    <a:stretch>
                      <a:fillRect/>
                    </a:stretch>
                  </pic:blipFill>
                  <pic:spPr>
                    <a:xfrm>
                      <a:off x="0" y="0"/>
                      <a:ext cx="6336000" cy="2816000"/>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كما في تاريخ 31 مارس 2026م.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26"/>
            <wp:cNvGraphicFramePr>
              <a:graphicFrameLocks noChangeAspect="1"/>
            </wp:cNvGraphicFramePr>
            <a:graphic>
              <a:graphicData uri="http://schemas.openxmlformats.org/drawingml/2006/picture">
                <pic:pic>
                  <pic:nvPicPr>
                    <pic:cNvPr id="0" name="ico_8eba3796ad497c7a142d47da7c90fea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المزيد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27"/>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2030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المتنوع 2030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 الاستثمار في الصندوق خاضع للرسوم كما هو مذكور في الشروط والأحكام.</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2030 المتداول — البيان الربع سنوي الربع الأول 2026م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