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04"/>
            <wp:cNvGraphicFramePr/>
            <a:graphic>
              <a:graphicData uri="http://schemas.openxmlformats.org/drawingml/2006/picture">
                <pic:pic>
                  <pic:nvPicPr>
                    <pic:cNvPr id="9004" name="banner9004.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05"/>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a)</w:t>
      </w:r>
      <w:r>
        <w:rPr>
          <w:rFonts w:ascii="Arial" w:hAnsi="Arial" w:cs="Arial" w:eastAsia="Arial"/>
          <w:b/>
          <w:bCs/>
          <w:color w:val="3B7DD8"/>
          <w:sz w:val="26"/>
          <w:szCs w:val="26"/>
        </w:rPr>
        <w:t xml:space="preserve">  </w:t>
      </w:r>
      <w:r>
        <w:rPr>
          <w:rFonts w:ascii="Arial" w:hAnsi="Arial" w:cs="Arial" w:eastAsia="Arial"/>
          <w:b/>
          <w:bCs/>
          <w:color w:val="12284B"/>
          <w:sz w:val="26"/>
          <w:szCs w:val="26"/>
        </w:rPr>
        <w:t>Fund Objective:</w:t>
      </w:r>
    </w:p>
    <w:p>
      <w:pPr>
        <w:spacing w:before="0" w:after="80" w:line="312" w:lineRule="auto"/>
      </w:pPr>
      <w:r>
        <w:rPr>
          <w:rFonts w:ascii="Arial" w:hAnsi="Arial" w:cs="Arial" w:eastAsia="Arial"/>
          <w:color w:val="0E1E3A"/>
          <w:sz w:val="20"/>
          <w:szCs w:val="20"/>
        </w:rPr>
        <w:t>The Fund objective is to generate periodic income to investors by investing in income generating assets, using a Shariah compliance investment structure. The Fund Manager, Alkhabeer Capital, intends to invest in Sukuk, Trade Financing Transactions, Leasing Transactions, structured income instruments, asset backed debts, income funds and Murabaha transactions, either directly or by way of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0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b)</w:t>
      </w:r>
      <w:r>
        <w:rPr>
          <w:rFonts w:ascii="Arial" w:hAnsi="Arial" w:cs="Arial" w:eastAsia="Arial"/>
          <w:b/>
          <w:bCs/>
          <w:color w:val="3B7DD8"/>
          <w:sz w:val="26"/>
          <w:szCs w:val="26"/>
        </w:rP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Fund Inception Date</w:t>
            </w:r>
          </w:p>
        </w:tc>
        <w:tc>
          <w:tcPr>
            <w:tcW w:type="dxa" w:w="6860"/>
          </w:tcPr>
          <w:p>
            <w:pPr>
              <w:spacing w:before="0" w:after="0" w:line="276" w:lineRule="auto"/>
            </w:pPr>
            <w:r>
              <w:rPr>
                <w:rFonts w:ascii="Arial" w:hAnsi="Arial" w:cs="Arial" w:eastAsia="Arial"/>
                <w:b/>
                <w:bCs/>
                <w:color w:val="0E1E3A"/>
                <w:sz w:val="18"/>
                <w:szCs w:val="18"/>
              </w:rPr>
              <w:t>17 July 2024</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10.1701</w:t>
            </w:r>
          </w:p>
        </w:tc>
      </w:tr>
      <w:tr>
        <w:tc>
          <w:tcPr>
            <w:tcW w:type="dxa" w:w="3118"/>
            <w:shd w:val="clear" w:color="auto" w:fill="F3F6FB"/>
          </w:tcPr>
          <w:p>
            <w:pPr>
              <w:spacing w:before="0" w:after="0" w:line="276" w:lineRule="auto"/>
            </w:pPr>
            <w:r>
              <w:rPr>
                <w:rFonts w:ascii="Arial" w:hAnsi="Arial" w:cs="Arial" w:eastAsia="Arial"/>
                <w:color w:val="5A6478"/>
                <w:sz w:val="18"/>
                <w:szCs w:val="18"/>
              </w:rPr>
              <w:t>Fund Size *</w:t>
            </w:r>
          </w:p>
        </w:tc>
        <w:tc>
          <w:tcPr>
            <w:tcW w:type="dxa" w:w="6860"/>
          </w:tcPr>
          <w:p>
            <w:pPr>
              <w:spacing w:before="0" w:after="0" w:line="276" w:lineRule="auto"/>
            </w:pPr>
            <w:r>
              <w:rPr>
                <w:rFonts w:ascii="Arial" w:hAnsi="Arial" w:cs="Arial" w:eastAsia="Arial"/>
                <w:b/>
                <w:bCs/>
                <w:color w:val="0E1E3A"/>
                <w:sz w:val="18"/>
                <w:szCs w:val="18"/>
              </w:rPr>
              <w:t>SAR 312,000,969</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Fund</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Riyal</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The Benchmark is a composite index comprised of 70% of the Dow Jones Sukuk Investment Grade Total Return +30% of the Secured Overnight Financing Rate for three months (SOFR 3M), which is a Shari’a compliant benchmark.</w:t>
            </w:r>
          </w:p>
        </w:tc>
      </w:tr>
      <w:tr>
        <w:tc>
          <w:tcPr>
            <w:tcW w:type="dxa" w:w="3118"/>
            <w:shd w:val="clear" w:color="auto" w:fill="F3F6FB"/>
          </w:tcPr>
          <w:p>
            <w:pPr>
              <w:spacing w:before="0" w:after="0" w:line="276" w:lineRule="auto"/>
            </w:pPr>
            <w:r>
              <w:rPr>
                <w:rFonts w:ascii="Arial" w:hAnsi="Arial" w:cs="Arial" w:eastAsia="Arial"/>
                <w:color w:val="5A6478"/>
                <w:sz w:val="18"/>
                <w:szCs w:val="18"/>
              </w:rPr>
              <w:t>Frequency of Dividend Distribution (if any)</w:t>
            </w:r>
          </w:p>
        </w:tc>
        <w:tc>
          <w:tcPr>
            <w:tcW w:type="dxa" w:w="6860"/>
          </w:tcPr>
          <w:p>
            <w:pPr>
              <w:spacing w:before="0" w:after="0" w:line="276" w:lineRule="auto"/>
            </w:pPr>
            <w:r>
              <w:rPr>
                <w:rFonts w:ascii="Arial" w:hAnsi="Arial" w:cs="Arial" w:eastAsia="Arial"/>
                <w:b/>
                <w:bCs/>
                <w:color w:val="0E1E3A"/>
                <w:sz w:val="18"/>
                <w:szCs w:val="18"/>
              </w:rPr>
              <w:t>The Fund Manager may distribute returns on Fund investments, after deducting expenses and provisions, to Unitholders more than twice a year, at its discretion.</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Management Fees of Underlying Funds</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90 days</w:t>
            </w:r>
          </w:p>
        </w:tc>
      </w:tr>
    </w:tbl>
    <w:p>
      <w:pPr>
        <w:spacing w:before="0" w:after="40" w:line="300" w:lineRule="auto"/>
      </w:pPr>
    </w:p>
    <w:p>
      <w:pPr>
        <w:spacing w:before="0" w:after="80" w:line="312" w:lineRule="auto"/>
      </w:pPr>
      <w:r>
        <w:rPr>
          <w:rFonts w:ascii="Arial" w:hAnsi="Arial" w:cs="Arial" w:eastAsia="Arial"/>
          <w:color w:val="5A6478"/>
          <w:sz w:val="17"/>
          <w:szCs w:val="17"/>
        </w:rPr>
        <w:t>* Total Asset Value as at 31 March 2026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0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c)</w:t>
      </w:r>
      <w:r>
        <w:rPr>
          <w:rFonts w:ascii="Arial" w:hAnsi="Arial" w:cs="Arial" w:eastAsia="Arial"/>
          <w:b/>
          <w:bCs/>
          <w:color w:val="3B7DD8"/>
          <w:sz w:val="26"/>
          <w:szCs w:val="26"/>
        </w:rPr>
        <w:t xml:space="preserve">  </w:t>
      </w:r>
      <w:r>
        <w:rPr>
          <w:rFonts w:ascii="Arial" w:hAnsi="Arial" w:cs="Arial" w:eastAsia="Arial"/>
          <w:b/>
          <w:bCs/>
          <w:color w:val="12284B"/>
          <w:sz w:val="26"/>
          <w:szCs w:val="26"/>
        </w:rPr>
        <w:t>Definitions: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Standard Deviation</w:t>
            </w:r>
          </w:p>
        </w:tc>
        <w:tc>
          <w:tcPr>
            <w:tcW w:type="dxa" w:w="6860"/>
          </w:tcPr>
          <w:p>
            <w:pPr>
              <w:spacing w:before="0" w:after="0" w:line="276" w:lineRule="auto"/>
            </w:pPr>
            <w:r>
              <w:rPr>
                <w:rFonts w:ascii="Arial" w:hAnsi="Arial" w:cs="Arial" w:eastAsia="Arial"/>
                <w:b/>
                <w:bCs/>
                <w:color w:val="0E1E3A"/>
                <w:sz w:val="18"/>
                <w:szCs w:val="18"/>
              </w:rPr>
              <w:t>Standard Deviation is a measure of risk. It is calculated as any volatility in returns over a period of time. The lower the volatility, the more homogeneous the set of returns.</w:t>
            </w:r>
          </w:p>
        </w:tc>
      </w:tr>
      <w:tr>
        <w:tc>
          <w:tcPr>
            <w:tcW w:type="dxa" w:w="3118"/>
            <w:shd w:val="clear" w:color="auto" w:fill="F3F6FB"/>
          </w:tcPr>
          <w:p>
            <w:pPr>
              <w:spacing w:before="0" w:after="0" w:line="276" w:lineRule="auto"/>
            </w:pPr>
            <w:r>
              <w:rPr>
                <w:rFonts w:ascii="Arial" w:hAnsi="Arial" w:cs="Arial" w:eastAsia="Arial"/>
                <w:color w:val="5A6478"/>
                <w:sz w:val="18"/>
                <w:szCs w:val="18"/>
              </w:rPr>
              <w:t>Sharpe Ratio</w:t>
            </w:r>
          </w:p>
        </w:tc>
        <w:tc>
          <w:tcPr>
            <w:tcW w:type="dxa" w:w="6860"/>
          </w:tcPr>
          <w:p>
            <w:pPr>
              <w:spacing w:before="0" w:after="0" w:line="276" w:lineRule="auto"/>
            </w:pPr>
            <w:r>
              <w:rPr>
                <w:rFonts w:ascii="Arial" w:hAnsi="Arial" w:cs="Arial" w:eastAsia="Arial"/>
                <w:b/>
                <w:bCs/>
                <w:color w:val="0E1E3A"/>
                <w:sz w:val="18"/>
                <w:szCs w:val="18"/>
              </w:rPr>
              <w:t>Sharpe Ratio is a risk-adjusted performance measure. It is calculated as the difference of the Fund Manager excess return over the risk-free rate, divided by the Standard Deviation. The greater a portfolio's Sharpe Ratio, the better its risk-adjusted performance.</w:t>
            </w:r>
          </w:p>
        </w:tc>
      </w:tr>
      <w:tr>
        <w:tc>
          <w:tcPr>
            <w:tcW w:type="dxa" w:w="3118"/>
            <w:shd w:val="clear" w:color="auto" w:fill="F3F6FB"/>
          </w:tcPr>
          <w:p>
            <w:pPr>
              <w:spacing w:before="0" w:after="0" w:line="276" w:lineRule="auto"/>
            </w:pPr>
            <w:r>
              <w:rPr>
                <w:rFonts w:ascii="Arial" w:hAnsi="Arial" w:cs="Arial" w:eastAsia="Arial"/>
                <w:color w:val="5A6478"/>
                <w:sz w:val="18"/>
                <w:szCs w:val="18"/>
              </w:rPr>
              <w:t>Tracking Error</w:t>
            </w:r>
          </w:p>
        </w:tc>
        <w:tc>
          <w:tcPr>
            <w:tcW w:type="dxa" w:w="6860"/>
          </w:tcPr>
          <w:p>
            <w:pPr>
              <w:spacing w:before="0" w:after="0" w:line="276" w:lineRule="auto"/>
            </w:pPr>
            <w:r>
              <w:rPr>
                <w:rFonts w:ascii="Arial" w:hAnsi="Arial" w:cs="Arial" w:eastAsia="Arial"/>
                <w:b/>
                <w:bCs/>
                <w:color w:val="0E1E3A"/>
                <w:sz w:val="18"/>
                <w:szCs w:val="18"/>
              </w:rPr>
              <w:t>Tracking Error is a measure of risks. It is calculated as the Standard Deviation between the Fund Manager's return and the Benchmark's return. The lower the Tracking Error, the lower the Fund Manager deviates from the Benchmark.</w:t>
            </w:r>
          </w:p>
        </w:tc>
      </w:tr>
      <w:tr>
        <w:tc>
          <w:tcPr>
            <w:tcW w:type="dxa" w:w="3118"/>
            <w:shd w:val="clear" w:color="auto" w:fill="F3F6FB"/>
          </w:tcPr>
          <w:p>
            <w:pPr>
              <w:spacing w:before="0" w:after="0" w:line="276" w:lineRule="auto"/>
            </w:pPr>
            <w:r>
              <w:rPr>
                <w:rFonts w:ascii="Arial" w:hAnsi="Arial" w:cs="Arial" w:eastAsia="Arial"/>
                <w:color w:val="5A6478"/>
                <w:sz w:val="18"/>
                <w:szCs w:val="18"/>
              </w:rPr>
              <w:t>Beta</w:t>
            </w:r>
          </w:p>
        </w:tc>
        <w:tc>
          <w:tcPr>
            <w:tcW w:type="dxa" w:w="6860"/>
          </w:tcPr>
          <w:p>
            <w:pPr>
              <w:spacing w:before="0" w:after="0" w:line="276" w:lineRule="auto"/>
            </w:pPr>
            <w:r>
              <w:rPr>
                <w:rFonts w:ascii="Arial" w:hAnsi="Arial" w:cs="Arial" w:eastAsia="Arial"/>
                <w:b/>
                <w:bCs/>
                <w:color w:val="0E1E3A"/>
                <w:sz w:val="18"/>
                <w:szCs w:val="18"/>
              </w:rPr>
              <w:t>Beta is a measure of the average historical sensitivity of the Fund's returns compared to market returns. It is calculated by using the covariance of the Fund and the market on the variance of the market,</w:t>
            </w:r>
          </w:p>
        </w:tc>
      </w:tr>
      <w:tr>
        <w:tc>
          <w:tcPr>
            <w:tcW w:type="dxa" w:w="3118"/>
            <w:shd w:val="clear" w:color="auto" w:fill="F3F6FB"/>
          </w:tcPr>
          <w:p>
            <w:pPr>
              <w:spacing w:before="0" w:after="0" w:line="276" w:lineRule="auto"/>
            </w:pPr>
            <w:r>
              <w:rPr>
                <w:rFonts w:ascii="Arial" w:hAnsi="Arial" w:cs="Arial" w:eastAsia="Arial"/>
                <w:color w:val="5A6478"/>
                <w:sz w:val="18"/>
                <w:szCs w:val="18"/>
              </w:rPr>
              <w:t>Alpha</w:t>
            </w:r>
          </w:p>
        </w:tc>
        <w:tc>
          <w:tcPr>
            <w:tcW w:type="dxa" w:w="6860"/>
          </w:tcPr>
          <w:p>
            <w:pPr>
              <w:spacing w:before="0" w:after="0" w:line="276" w:lineRule="auto"/>
            </w:pPr>
            <w:r>
              <w:rPr>
                <w:rFonts w:ascii="Arial" w:hAnsi="Arial" w:cs="Arial" w:eastAsia="Arial"/>
                <w:b/>
                <w:bCs/>
                <w:color w:val="0E1E3A"/>
                <w:sz w:val="18"/>
                <w:szCs w:val="18"/>
              </w:rPr>
              <w:t>Alpha measures any excess return achieved by the Fund compared to the performance of the index.</w:t>
            </w:r>
          </w:p>
        </w:tc>
      </w:tr>
      <w:tr>
        <w:tc>
          <w:tcPr>
            <w:tcW w:type="dxa" w:w="3118"/>
            <w:shd w:val="clear" w:color="auto" w:fill="F3F6FB"/>
          </w:tcPr>
          <w:p>
            <w:pPr>
              <w:spacing w:before="0" w:after="0" w:line="276" w:lineRule="auto"/>
            </w:pPr>
            <w:r>
              <w:rPr>
                <w:rFonts w:ascii="Arial" w:hAnsi="Arial" w:cs="Arial" w:eastAsia="Arial"/>
                <w:color w:val="5A6478"/>
                <w:sz w:val="18"/>
                <w:szCs w:val="18"/>
              </w:rPr>
              <w:t>Information Ratio</w:t>
            </w:r>
          </w:p>
        </w:tc>
        <w:tc>
          <w:tcPr>
            <w:tcW w:type="dxa" w:w="6860"/>
          </w:tcPr>
          <w:p>
            <w:pPr>
              <w:spacing w:before="0" w:after="0" w:line="276" w:lineRule="auto"/>
            </w:pPr>
            <w:r>
              <w:rPr>
                <w:rFonts w:ascii="Arial" w:hAnsi="Arial" w:cs="Arial" w:eastAsia="Arial"/>
                <w:b/>
                <w:bCs/>
                <w:color w:val="0E1E3A"/>
                <w:sz w:val="18"/>
                <w:szCs w:val="18"/>
              </w:rPr>
              <w:t>Information Ratio is a risk-adjusted performance measure. It is calculated as the active return of the Fund Manager, divided by its tracking error. The higher the Information ratio, the higher the Fund Manager ability to generate excess returns per Unit of excess risk.</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5" name="Picture 900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d)</w:t>
      </w:r>
      <w:r>
        <w:rPr>
          <w:rFonts w:ascii="Arial" w:hAnsi="Arial" w:cs="Arial" w:eastAsia="Arial"/>
          <w:b/>
          <w:bCs/>
          <w:color w:val="3B7DD8"/>
          <w:sz w:val="26"/>
          <w:szCs w:val="26"/>
        </w:rPr>
        <w:t xml:space="preserve">  </w:t>
      </w:r>
      <w:r>
        <w:rPr>
          <w:rFonts w:ascii="Arial" w:hAnsi="Arial" w:cs="Arial" w:eastAsia="Arial"/>
          <w:b/>
          <w:bCs/>
          <w:color w:val="12284B"/>
          <w:sz w:val="26"/>
          <w:szCs w:val="26"/>
        </w:rPr>
        <w:t>Fund Manager's Commentary:</w:t>
      </w:r>
    </w:p>
    <w:p>
      <w:pPr>
        <w:spacing w:before="0" w:after="80" w:line="312" w:lineRule="auto"/>
      </w:pPr>
      <w:r>
        <w:rPr>
          <w:rFonts w:ascii="Arial" w:hAnsi="Arial" w:cs="Arial" w:eastAsia="Arial"/>
          <w:color w:val="0E1E3A"/>
          <w:sz w:val="20"/>
          <w:szCs w:val="20"/>
        </w:rPr>
        <w:t>N/A.</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09"/>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e)</w:t>
      </w:r>
      <w:r>
        <w:rPr>
          <w:rFonts w:ascii="Arial" w:hAnsi="Arial" w:cs="Arial" w:eastAsia="Arial"/>
          <w:b/>
          <w:bCs/>
          <w:color w:val="3B7DD8"/>
          <w:sz w:val="26"/>
          <w:szCs w:val="26"/>
        </w:rPr>
        <w:t xml:space="preserve">  </w:t>
      </w:r>
      <w:r>
        <w:rPr>
          <w:rFonts w:ascii="Arial" w:hAnsi="Arial" w:cs="Arial" w:eastAsia="Arial"/>
          <w:b/>
          <w:bCs/>
          <w:color w:val="12284B"/>
          <w:sz w:val="26"/>
          <w:szCs w:val="26"/>
        </w:rPr>
        <w:t>Contact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Telephone Number</w:t>
            </w:r>
          </w:p>
        </w:tc>
        <w:tc>
          <w:tcPr>
            <w:tcW w:type="dxa" w:w="6860"/>
          </w:tcPr>
          <w:p>
            <w:pPr>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spacing w:before="0" w:after="0" w:line="276" w:lineRule="auto"/>
            </w:pPr>
            <w:r>
              <w:rPr>
                <w:rFonts w:ascii="Arial" w:hAnsi="Arial" w:cs="Arial" w:eastAsia="Arial"/>
                <w:color w:val="5A6478"/>
                <w:sz w:val="18"/>
                <w:szCs w:val="18"/>
              </w:rPr>
              <w:t>Website</w:t>
            </w:r>
          </w:p>
        </w:tc>
        <w:tc>
          <w:tcPr>
            <w:tcW w:type="dxa" w:w="6860"/>
          </w:tcPr>
          <w:p>
            <w:pPr>
              <w:spacing w:before="0" w:after="0" w:line="276" w:lineRule="auto"/>
            </w:pPr>
            <w:r>
              <w:rPr>
                <w:rFonts w:ascii="Arial" w:hAnsi="Arial" w:cs="Arial" w:eastAsia="Arial"/>
                <w:b/>
                <w:bCs/>
                <w:color w:val="0E1E3A"/>
                <w:sz w:val="18"/>
                <w:szCs w:val="18"/>
              </w:rPr>
              <w:t>www.alkhabeer.com</w:t>
            </w:r>
          </w:p>
        </w:tc>
      </w:tr>
      <w:tr>
        <w:tc>
          <w:tcPr>
            <w:tcW w:type="dxa" w:w="3118"/>
            <w:shd w:val="clear" w:color="auto" w:fill="F3F6FB"/>
          </w:tcPr>
          <w:p>
            <w:pPr>
              <w:spacing w:before="0" w:after="0" w:line="276" w:lineRule="auto"/>
            </w:pPr>
            <w:r>
              <w:rPr>
                <w:rFonts w:ascii="Arial" w:hAnsi="Arial" w:cs="Arial" w:eastAsia="Arial"/>
                <w:color w:val="5A6478"/>
                <w:sz w:val="18"/>
                <w:szCs w:val="18"/>
              </w:rPr>
              <w:t>Email</w:t>
            </w:r>
          </w:p>
        </w:tc>
        <w:tc>
          <w:tcPr>
            <w:tcW w:type="dxa" w:w="6860"/>
          </w:tcPr>
          <w:p>
            <w:pPr>
              <w:spacing w:before="0" w:after="0" w:line="276" w:lineRule="auto"/>
            </w:pPr>
            <w:r>
              <w:rPr>
                <w:rFonts w:ascii="Arial" w:hAnsi="Arial" w:cs="Arial" w:eastAsia="Arial"/>
                <w:b/>
                <w:bCs/>
                <w:color w:val="0E1E3A"/>
                <w:sz w:val="18"/>
                <w:szCs w:val="18"/>
              </w:rPr>
              <w:t>info@alkhabeer.com</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1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f)</w:t>
      </w:r>
      <w:r>
        <w:rPr>
          <w:rFonts w:ascii="Arial" w:hAnsi="Arial" w:cs="Arial" w:eastAsia="Arial"/>
          <w:b/>
          <w:bCs/>
          <w:color w:val="3B7DD8"/>
          <w:sz w:val="26"/>
          <w:szCs w:val="26"/>
        </w:rPr>
        <w:t xml:space="preserve">  </w:t>
      </w:r>
      <w:r>
        <w:rPr>
          <w:rFonts w:ascii="Arial" w:hAnsi="Arial" w:cs="Arial" w:eastAsia="Arial"/>
          <w:b/>
          <w:bCs/>
          <w:color w:val="12284B"/>
          <w:sz w:val="26"/>
          <w:szCs w:val="26"/>
        </w:rPr>
        <w:t>Price Information as at the End of the Reporting Quarter (March 2026):</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at the end of Q1 (31 March 2026)</w:t>
            </w:r>
          </w:p>
        </w:tc>
        <w:tc>
          <w:tcPr>
            <w:tcW w:type="dxa" w:w="6860"/>
          </w:tcPr>
          <w:p>
            <w:pPr>
              <w:spacing w:before="0" w:after="0" w:line="276" w:lineRule="auto"/>
            </w:pPr>
            <w:r>
              <w:rPr>
                <w:rFonts w:ascii="Arial" w:hAnsi="Arial" w:cs="Arial" w:eastAsia="Arial"/>
                <w:b/>
                <w:bCs/>
                <w:color w:val="0E1E3A"/>
                <w:sz w:val="18"/>
                <w:szCs w:val="18"/>
              </w:rPr>
              <w:t>SAR 7.87</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Previous Quarter</w:t>
            </w:r>
          </w:p>
        </w:tc>
        <w:tc>
          <w:tcPr>
            <w:tcW w:type="dxa" w:w="6860"/>
          </w:tcPr>
          <w:p>
            <w:pPr>
              <w:spacing w:before="0" w:after="0" w:line="276" w:lineRule="auto"/>
            </w:pPr>
            <w:r>
              <w:rPr>
                <w:rFonts w:ascii="Arial" w:hAnsi="Arial" w:cs="Arial" w:eastAsia="Arial"/>
                <w:b/>
                <w:bCs/>
                <w:color w:val="0E1E3A"/>
                <w:sz w:val="18"/>
                <w:szCs w:val="18"/>
              </w:rPr>
              <w:t>1.81%</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Total Fund Units</w:t>
            </w:r>
          </w:p>
        </w:tc>
        <w:tc>
          <w:tcPr>
            <w:tcW w:type="dxa" w:w="6860"/>
          </w:tcPr>
          <w:p>
            <w:pPr>
              <w:spacing w:before="0" w:after="0" w:line="276" w:lineRule="auto"/>
            </w:pPr>
            <w:r>
              <w:rPr>
                <w:rFonts w:ascii="Arial" w:hAnsi="Arial" w:cs="Arial" w:eastAsia="Arial"/>
                <w:b/>
                <w:bCs/>
                <w:color w:val="0E1E3A"/>
                <w:sz w:val="18"/>
                <w:szCs w:val="18"/>
              </w:rPr>
              <w:t>30,545,635 Units</w:t>
            </w:r>
          </w:p>
        </w:tc>
      </w:tr>
      <w:tr>
        <w:tc>
          <w:tcPr>
            <w:tcW w:type="dxa" w:w="3118"/>
            <w:shd w:val="clear" w:color="auto" w:fill="F3F6FB"/>
          </w:tcPr>
          <w:p>
            <w:pPr>
              <w:spacing w:before="0" w:after="0" w:line="276" w:lineRule="auto"/>
            </w:pPr>
            <w:r>
              <w:rPr>
                <w:rFonts w:ascii="Arial" w:hAnsi="Arial" w:cs="Arial" w:eastAsia="Arial"/>
                <w:color w:val="5A6478"/>
                <w:sz w:val="18"/>
                <w:szCs w:val="18"/>
              </w:rPr>
              <w:t>Fund's Net Asset Value</w:t>
            </w:r>
          </w:p>
        </w:tc>
        <w:tc>
          <w:tcPr>
            <w:tcW w:type="dxa" w:w="6860"/>
          </w:tcPr>
          <w:p>
            <w:pPr>
              <w:spacing w:before="0" w:after="0" w:line="276" w:lineRule="auto"/>
            </w:pPr>
            <w:r>
              <w:rPr>
                <w:rFonts w:ascii="Arial" w:hAnsi="Arial" w:cs="Arial" w:eastAsia="Arial"/>
                <w:b/>
                <w:bCs/>
                <w:color w:val="0E1E3A"/>
                <w:sz w:val="18"/>
                <w:szCs w:val="18"/>
              </w:rPr>
              <w:t>SAR 310,653,156</w:t>
            </w:r>
          </w:p>
        </w:tc>
      </w:tr>
      <w:tr>
        <w:tc>
          <w:tcPr>
            <w:tcW w:type="dxa" w:w="3118"/>
            <w:shd w:val="clear" w:color="auto" w:fill="F3F6FB"/>
          </w:tcPr>
          <w:p>
            <w:pPr>
              <w:spacing w:before="0" w:after="0" w:line="276" w:lineRule="auto"/>
            </w:pPr>
            <w:r>
              <w:rPr>
                <w:rFonts w:ascii="Arial" w:hAnsi="Arial" w:cs="Arial" w:eastAsia="Arial"/>
                <w:color w:val="5A6478"/>
                <w:sz w:val="18"/>
                <w:szCs w:val="18"/>
              </w:rPr>
              <w:t>Price/Equity Ratio (P/E)</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8" name="Picture 901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g)</w:t>
      </w:r>
      <w:r>
        <w:rPr>
          <w:rFonts w:ascii="Arial" w:hAnsi="Arial" w:cs="Arial" w:eastAsia="Arial"/>
          <w:b/>
          <w:bCs/>
          <w:color w:val="3B7DD8"/>
          <w:sz w:val="26"/>
          <w:szCs w:val="26"/>
        </w:rPr>
        <w:t xml:space="preserve">  </w:t>
      </w:r>
      <w:r>
        <w:rPr>
          <w:rFonts w:ascii="Arial" w:hAnsi="Arial" w:cs="Arial" w:eastAsia="Arial"/>
          <w:b/>
          <w:bCs/>
          <w:color w:val="12284B"/>
          <w:sz w:val="26"/>
          <w:szCs w:val="26"/>
        </w:rPr>
        <w:t>Fund Information as at the End of Q1 (March 2026):</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r>
              <w:rPr>
                <w:rFonts w:ascii="Arial" w:hAnsi="Arial" w:cs="Arial" w:eastAsia="Arial"/>
                <w:b/>
                <w:bCs/>
                <w:color w:val="FFFFFF"/>
                <w:sz w:val="17"/>
                <w:szCs w:val="17"/>
              </w:rPr>
              <w:t>Item</w:t>
            </w:r>
          </w:p>
        </w:tc>
        <w:tc>
          <w:tcPr>
            <w:tcW w:type="dxa" w:w="3326"/>
            <w:shd w:val="clear" w:color="auto" w:fill="12284B"/>
          </w:tcPr>
          <w:p>
            <w:pPr>
              <w:spacing w:before="0" w:after="0" w:line="264" w:lineRule="auto"/>
            </w:pPr>
            <w:r>
              <w:rPr>
                <w:rFonts w:ascii="Arial" w:hAnsi="Arial" w:cs="Arial" w:eastAsia="Arial"/>
                <w:b/>
                <w:bCs/>
                <w:color w:val="FFFFFF"/>
                <w:sz w:val="17"/>
                <w:szCs w:val="17"/>
              </w:rPr>
              <w:t>Saudi Riyal</w:t>
            </w:r>
          </w:p>
        </w:tc>
        <w:tc>
          <w:tcPr>
            <w:tcW w:type="dxa" w:w="3326"/>
            <w:shd w:val="clear" w:color="auto" w:fill="12284B"/>
          </w:tcPr>
          <w:p>
            <w:pPr>
              <w:spacing w:before="0" w:after="0" w:line="264" w:lineRule="auto"/>
            </w:pPr>
            <w:r>
              <w:rPr>
                <w:rFonts w:ascii="Arial" w:hAnsi="Arial" w:cs="Arial" w:eastAsia="Arial"/>
                <w:b/>
                <w:bCs/>
                <w:color w:val="FFFFFF"/>
                <w:sz w:val="17"/>
                <w:szCs w:val="17"/>
              </w:rPr>
              <w:t>%</w:t>
            </w:r>
          </w:p>
        </w:tc>
      </w:tr>
      <w:tr>
        <w:tc>
          <w:tcPr>
            <w:tcW w:type="dxa" w:w="3326"/>
          </w:tcPr>
          <w:p>
            <w:pPr>
              <w:spacing w:before="0" w:after="0" w:line="264" w:lineRule="auto"/>
            </w:pPr>
            <w:r>
              <w:rPr>
                <w:rFonts w:ascii="Arial" w:hAnsi="Arial" w:cs="Arial" w:eastAsia="Arial"/>
                <w:color w:val="0E1E3A"/>
                <w:sz w:val="17"/>
                <w:szCs w:val="17"/>
              </w:rPr>
              <w:t>Total Expense Ratio (TER) to Fund's Average Net Asset Value</w:t>
            </w:r>
          </w:p>
        </w:tc>
        <w:tc>
          <w:tcPr>
            <w:tcW w:type="dxa" w:w="3326"/>
          </w:tcPr>
          <w:p>
            <w:pPr>
              <w:spacing w:before="0" w:after="0" w:line="264" w:lineRule="auto"/>
            </w:pPr>
            <w:r>
              <w:rPr>
                <w:rFonts w:ascii="Arial" w:hAnsi="Arial" w:cs="Arial" w:eastAsia="Arial"/>
                <w:color w:val="0E1E3A"/>
                <w:sz w:val="17"/>
                <w:szCs w:val="17"/>
              </w:rPr>
              <w:t>SAR 1,163,464</w:t>
            </w:r>
          </w:p>
        </w:tc>
        <w:tc>
          <w:tcPr>
            <w:tcW w:type="dxa" w:w="3326"/>
          </w:tcPr>
          <w:p>
            <w:pPr>
              <w:spacing w:before="0" w:after="0" w:line="264" w:lineRule="auto"/>
            </w:pPr>
            <w:r>
              <w:rPr>
                <w:rFonts w:ascii="Arial" w:hAnsi="Arial" w:cs="Arial" w:eastAsia="Arial"/>
                <w:color w:val="0E1E3A"/>
                <w:sz w:val="17"/>
                <w:szCs w:val="17"/>
              </w:rPr>
              <w:t>0.37%</w:t>
            </w:r>
          </w:p>
        </w:tc>
      </w:tr>
      <w:tr>
        <w:tc>
          <w:tcPr>
            <w:tcW w:type="dxa" w:w="3326"/>
          </w:tcPr>
          <w:p>
            <w:pPr>
              <w:spacing w:before="0" w:after="0" w:line="264" w:lineRule="auto"/>
            </w:pPr>
            <w:r>
              <w:rPr>
                <w:rFonts w:ascii="Arial" w:hAnsi="Arial" w:cs="Arial" w:eastAsia="Arial"/>
                <w:color w:val="0E1E3A"/>
                <w:sz w:val="17"/>
                <w:szCs w:val="17"/>
              </w:rPr>
              <w:t>Ratio of Loans to Fund's Total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Percentage of Dealing Expenses to Fund's Average Net Asset Value</w:t>
            </w:r>
          </w:p>
        </w:tc>
        <w:tc>
          <w:tcPr>
            <w:tcW w:type="dxa" w:w="3326"/>
          </w:tcPr>
          <w:p>
            <w:pPr>
              <w:spacing w:before="0" w:after="0" w:line="264" w:lineRule="auto"/>
            </w:pPr>
            <w:r>
              <w:rPr>
                <w:rFonts w:ascii="Arial" w:hAnsi="Arial" w:cs="Arial" w:eastAsia="Arial"/>
                <w:color w:val="0E1E3A"/>
                <w:sz w:val="17"/>
                <w:szCs w:val="17"/>
              </w:rPr>
              <w:t>N/A</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Percentage of Fund Manager's Investment to Fund's Net Asset Value</w:t>
            </w:r>
          </w:p>
        </w:tc>
        <w:tc>
          <w:tcPr>
            <w:tcW w:type="dxa" w:w="3326"/>
          </w:tcPr>
          <w:p>
            <w:pPr>
              <w:spacing w:before="0" w:after="0" w:line="264" w:lineRule="auto"/>
            </w:pPr>
            <w:r>
              <w:rPr>
                <w:rFonts w:ascii="Arial" w:hAnsi="Arial" w:cs="Arial" w:eastAsia="Arial"/>
                <w:color w:val="0E1E3A"/>
                <w:sz w:val="17"/>
                <w:szCs w:val="17"/>
              </w:rPr>
              <w:t>SAR 50,850,663</w:t>
            </w:r>
          </w:p>
        </w:tc>
        <w:tc>
          <w:tcPr>
            <w:tcW w:type="dxa" w:w="3326"/>
          </w:tcPr>
          <w:p>
            <w:pPr>
              <w:spacing w:before="0" w:after="0" w:line="264" w:lineRule="auto"/>
            </w:pPr>
            <w:r>
              <w:rPr>
                <w:rFonts w:ascii="Arial" w:hAnsi="Arial" w:cs="Arial" w:eastAsia="Arial"/>
                <w:color w:val="0E1E3A"/>
                <w:sz w:val="17"/>
                <w:szCs w:val="17"/>
              </w:rPr>
              <w:t>16.37%</w:t>
            </w:r>
          </w:p>
        </w:tc>
      </w:tr>
      <w:tr>
        <w:tc>
          <w:tcPr>
            <w:tcW w:type="dxa" w:w="3326"/>
          </w:tcPr>
          <w:p>
            <w:pPr>
              <w:spacing w:before="0" w:after="0" w:line="264" w:lineRule="auto"/>
            </w:pPr>
            <w:r>
              <w:rPr>
                <w:rFonts w:ascii="Arial" w:hAnsi="Arial" w:cs="Arial" w:eastAsia="Arial"/>
                <w:color w:val="0E1E3A"/>
                <w:sz w:val="17"/>
                <w:szCs w:val="17"/>
              </w:rPr>
              <w:t>Distributed Dividends from Net Asset Value *</w:t>
            </w:r>
          </w:p>
        </w:tc>
        <w:tc>
          <w:tcPr>
            <w:tcW w:type="dxa" w:w="3326"/>
          </w:tcPr>
          <w:p>
            <w:pPr>
              <w:spacing w:before="0" w:after="0" w:line="264" w:lineRule="auto"/>
            </w:pPr>
            <w:r>
              <w:rPr>
                <w:rFonts w:ascii="Arial" w:hAnsi="Arial" w:cs="Arial" w:eastAsia="Arial"/>
                <w:color w:val="0E1E3A"/>
                <w:sz w:val="17"/>
                <w:szCs w:val="17"/>
              </w:rPr>
              <w:t>SAR 10,690,972</w:t>
            </w:r>
          </w:p>
        </w:tc>
        <w:tc>
          <w:tcPr>
            <w:tcW w:type="dxa" w:w="3326"/>
          </w:tcPr>
          <w:p>
            <w:pPr>
              <w:spacing w:before="0" w:after="0" w:line="264" w:lineRule="auto"/>
            </w:pPr>
            <w:r>
              <w:rPr>
                <w:rFonts w:ascii="Arial" w:hAnsi="Arial" w:cs="Arial" w:eastAsia="Arial"/>
                <w:color w:val="0E1E3A"/>
                <w:sz w:val="17"/>
                <w:szCs w:val="17"/>
              </w:rPr>
              <w:t>3.44%</w:t>
            </w:r>
          </w:p>
        </w:tc>
      </w:tr>
    </w:tbl>
    <w:p>
      <w:pPr>
        <w:spacing w:before="0" w:after="40" w:line="300" w:lineRule="auto"/>
      </w:pPr>
    </w:p>
    <w:p>
      <w:pPr>
        <w:spacing w:before="0" w:after="80" w:line="312" w:lineRule="auto"/>
      </w:pPr>
      <w:r>
        <w:rPr>
          <w:rFonts w:ascii="Arial" w:hAnsi="Arial" w:cs="Arial" w:eastAsia="Arial"/>
          <w:color w:val="5A6478"/>
          <w:sz w:val="17"/>
          <w:szCs w:val="17"/>
        </w:rPr>
        <w:t>*Average Net Asset Value = SAR 313,336,710.</w:t>
      </w:r>
      <w:r>
        <w:br/>
      </w:r>
      <w:r>
        <w:rPr>
          <w:rFonts w:ascii="Arial" w:hAnsi="Arial" w:cs="Arial" w:eastAsia="Arial"/>
          <w:color w:val="5A6478"/>
          <w:sz w:val="17"/>
          <w:szCs w:val="17"/>
        </w:rPr>
        <w:t>** SAR 0.35 per Unit was distributed during Q1 2026 for the period from 1 July 2025 to 31 December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1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h)</w:t>
      </w:r>
      <w:r>
        <w:rPr>
          <w:rFonts w:ascii="Arial" w:hAnsi="Arial" w:cs="Arial" w:eastAsia="Arial"/>
          <w:b/>
          <w:bCs/>
          <w:color w:val="3B7DD8"/>
          <w:sz w:val="26"/>
          <w:szCs w:val="26"/>
        </w:rPr>
        <w:t xml:space="preserve">  </w:t>
      </w:r>
      <w:r>
        <w:rPr>
          <w:rFonts w:ascii="Arial" w:hAnsi="Arial" w:cs="Arial" w:eastAsia="Arial"/>
          <w:b/>
          <w:bCs/>
          <w:color w:val="12284B"/>
          <w:sz w:val="26"/>
          <w:szCs w:val="26"/>
        </w:rPr>
        <w:t>Information on 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Freehold</w:t>
            </w:r>
          </w:p>
        </w:tc>
        <w:tc>
          <w:tcPr>
            <w:tcW w:type="dxa" w:w="6860"/>
          </w:tcPr>
          <w:p>
            <w:pPr>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spacing w:before="0" w:after="0" w:line="276" w:lineRule="auto"/>
            </w:pPr>
            <w:r>
              <w:rPr>
                <w:rFonts w:ascii="Arial" w:hAnsi="Arial" w:cs="Arial" w:eastAsia="Arial"/>
                <w:color w:val="5A6478"/>
                <w:sz w:val="18"/>
                <w:szCs w:val="18"/>
              </w:rPr>
              <w:t>Leasehold</w:t>
            </w:r>
          </w:p>
        </w:tc>
        <w:tc>
          <w:tcPr>
            <w:tcW w:type="dxa" w:w="6860"/>
          </w:tcPr>
          <w:p>
            <w:pPr>
              <w:spacing w:before="0" w:after="0" w:line="276" w:lineRule="auto"/>
            </w:pPr>
            <w:r>
              <w:rPr>
                <w:rFonts w:ascii="Arial" w:hAnsi="Arial" w:cs="Arial" w:eastAsia="Arial"/>
                <w:b/>
                <w:bCs/>
                <w:color w:val="0E1E3A"/>
                <w:sz w:val="18"/>
                <w:szCs w:val="18"/>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13"/>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i)</w:t>
      </w:r>
      <w:r>
        <w:rPr>
          <w:rFonts w:ascii="Arial" w:hAnsi="Arial" w:cs="Arial" w:eastAsia="Arial"/>
          <w:b/>
          <w:bCs/>
          <w:color w:val="3B7DD8"/>
          <w:sz w:val="26"/>
          <w:szCs w:val="26"/>
        </w:rP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2030, nor shall it (or any part of it) form the basis of, or be relied on, in connection with, or act as inducement to enter into any contract whatsoever. Prospective investors should read carefully Alkhabeer Diversified Income Traded Fund 2030’s Terms and Conditions and their contents related to investment risks, as well as other Alkhabeer Diversified Income Traded Fund 2030 documents prior to making any investment decision. Alkhabeer Diversified Income Traded Fund 2030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2030 is not a guarantee of the Fund’s future results. By investing in the Fund, the investor acknowledges having read and accepted Alkhabeer Diversified Income Traded Fund 2030’s Terms and Conditions, The Fund Manager or any of its affiliates shall not be liable for any financial loss which may be suffered by the Fund, unless such loss is deliberately caused by the Fund Manager.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1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j)</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Fund's Top Ten Investments:</w:t>
      </w:r>
    </w:p>
    <w:p>
      <w:pPr>
        <w:spacing w:before="0" w:after="80" w:line="240" w:lineRule="auto"/>
        <w:jc w:val="center"/>
      </w:pPr>
      <w:r>
        <w:drawing>
          <wp:inline xmlns:a="http://schemas.openxmlformats.org/drawingml/2006/main" xmlns:pic="http://schemas.openxmlformats.org/drawingml/2006/picture">
            <wp:extent cx="6336000" cy="2549622"/>
            <wp:docPr id="12" name="Picture 9015"/>
            <wp:cNvGraphicFramePr>
              <a:graphicFrameLocks noChangeAspect="1"/>
            </wp:cNvGraphicFramePr>
            <a:graphic>
              <a:graphicData uri="http://schemas.openxmlformats.org/drawingml/2006/picture">
                <pic:pic>
                  <pic:nvPicPr>
                    <pic:cNvPr id="0" name="x2.j.jpg"/>
                    <pic:cNvPicPr/>
                  </pic:nvPicPr>
                  <pic:blipFill>
                    <a:blip r:embed="rId18"/>
                    <a:stretch>
                      <a:fillRect/>
                    </a:stretch>
                  </pic:blipFill>
                  <pic:spPr>
                    <a:xfrm>
                      <a:off x="0" y="0"/>
                      <a:ext cx="6336000" cy="2549622"/>
                    </a:xfrm>
                    <a:prstGeom prst="rect"/>
                  </pic:spPr>
                </pic:pic>
              </a:graphicData>
            </a:graphic>
          </wp:inline>
        </w:drawing>
      </w:r>
    </w:p>
    <w:p>
      <w:pPr>
        <w:spacing w:before="0" w:after="80" w:line="312" w:lineRule="auto"/>
      </w:pPr>
      <w:r>
        <w:rPr>
          <w:rFonts w:ascii="Arial" w:hAnsi="Arial" w:cs="Arial" w:eastAsia="Arial"/>
          <w:color w:val="5A6478"/>
          <w:sz w:val="17"/>
          <w:szCs w:val="17"/>
        </w:rPr>
        <w:t>* As at the beginning of the relevant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16"/>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k)</w:t>
      </w:r>
      <w:r>
        <w:rPr>
          <w:rFonts w:ascii="Arial" w:hAnsi="Arial" w:cs="Arial" w:eastAsia="Arial"/>
          <w:b/>
          <w:bCs/>
          <w:color w:val="3B7DD8"/>
          <w:sz w:val="26"/>
          <w:szCs w:val="26"/>
        </w:rPr>
        <w:t xml:space="preserve">  </w:t>
      </w:r>
      <w:r>
        <w:rPr>
          <w:rFonts w:ascii="Arial" w:hAnsi="Arial" w:cs="Arial" w:eastAsia="Arial"/>
          <w:b/>
          <w:bCs/>
          <w:color w:val="12284B"/>
          <w:sz w:val="26"/>
          <w:szCs w:val="26"/>
        </w:rPr>
        <w:t>Statement of Dividends Distributed to Unitholders (if any),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Q1</w:t>
            </w:r>
          </w:p>
        </w:tc>
        <w:tc>
          <w:tcPr>
            <w:tcW w:type="dxa" w:w="6860"/>
          </w:tcPr>
          <w:p>
            <w:pPr>
              <w:spacing w:before="0" w:after="0" w:line="276" w:lineRule="auto"/>
            </w:pPr>
            <w:r>
              <w:rPr>
                <w:rFonts w:ascii="Arial" w:hAnsi="Arial" w:cs="Arial" w:eastAsia="Arial"/>
                <w:b/>
                <w:bCs/>
                <w:color w:val="0E1E3A"/>
                <w:sz w:val="18"/>
                <w:szCs w:val="18"/>
              </w:rPr>
              <w:t>SAR 10,690,972</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 Receiving Dividends in Q1</w:t>
            </w:r>
          </w:p>
        </w:tc>
        <w:tc>
          <w:tcPr>
            <w:tcW w:type="dxa" w:w="6860"/>
          </w:tcPr>
          <w:p>
            <w:pPr>
              <w:spacing w:before="0" w:after="0" w:line="276" w:lineRule="auto"/>
            </w:pPr>
            <w:r>
              <w:rPr>
                <w:rFonts w:ascii="Arial" w:hAnsi="Arial" w:cs="Arial" w:eastAsia="Arial"/>
                <w:b/>
                <w:bCs/>
                <w:color w:val="0E1E3A"/>
                <w:sz w:val="18"/>
                <w:szCs w:val="18"/>
              </w:rPr>
              <w:t>30,545,635 Units</w:t>
            </w:r>
          </w:p>
        </w:tc>
      </w:tr>
      <w:tr>
        <w:tc>
          <w:tcPr>
            <w:tcW w:type="dxa" w:w="3118"/>
            <w:shd w:val="clear" w:color="auto" w:fill="F3F6FB"/>
          </w:tcPr>
          <w:p>
            <w:pPr>
              <w:spacing w:before="0" w:after="0" w:line="276" w:lineRule="auto"/>
            </w:pPr>
            <w:r>
              <w:rPr>
                <w:rFonts w:ascii="Arial" w:hAnsi="Arial" w:cs="Arial" w:eastAsia="Arial"/>
                <w:color w:val="5A6478"/>
                <w:sz w:val="18"/>
                <w:szCs w:val="18"/>
              </w:rPr>
              <w:t>Distributed Dividends per Unit in Q1</w:t>
            </w:r>
          </w:p>
        </w:tc>
        <w:tc>
          <w:tcPr>
            <w:tcW w:type="dxa" w:w="6860"/>
          </w:tcPr>
          <w:p>
            <w:pPr>
              <w:spacing w:before="0" w:after="0" w:line="276" w:lineRule="auto"/>
            </w:pPr>
            <w:r>
              <w:rPr>
                <w:rFonts w:ascii="Arial" w:hAnsi="Arial" w:cs="Arial" w:eastAsia="Arial"/>
                <w:b/>
                <w:bCs/>
                <w:color w:val="0E1E3A"/>
                <w:sz w:val="18"/>
                <w:szCs w:val="18"/>
              </w:rPr>
              <w:t>SAR 0.35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Distributions to Fund's Net Asset Value</w:t>
            </w:r>
          </w:p>
        </w:tc>
        <w:tc>
          <w:tcPr>
            <w:tcW w:type="dxa" w:w="6860"/>
          </w:tcPr>
          <w:p>
            <w:pPr>
              <w:spacing w:before="0" w:after="0" w:line="276" w:lineRule="auto"/>
            </w:pPr>
            <w:r>
              <w:rPr>
                <w:rFonts w:ascii="Arial" w:hAnsi="Arial" w:cs="Arial" w:eastAsia="Arial"/>
                <w:b/>
                <w:bCs/>
                <w:color w:val="0E1E3A"/>
                <w:sz w:val="18"/>
                <w:szCs w:val="18"/>
              </w:rPr>
              <w:t>3.44%</w:t>
            </w:r>
          </w:p>
        </w:tc>
      </w:tr>
      <w:tr>
        <w:tc>
          <w:tcPr>
            <w:tcW w:type="dxa" w:w="3118"/>
            <w:shd w:val="clear" w:color="auto" w:fill="F3F6FB"/>
          </w:tcPr>
          <w:p>
            <w:pPr>
              <w:spacing w:before="0" w:after="0" w:line="276" w:lineRule="auto"/>
            </w:pPr>
            <w:r>
              <w:rPr>
                <w:rFonts w:ascii="Arial" w:hAnsi="Arial" w:cs="Arial" w:eastAsia="Arial"/>
                <w:color w:val="5A6478"/>
                <w:sz w:val="18"/>
                <w:szCs w:val="18"/>
              </w:rPr>
              <w:t>Entitlement to Cash Distributions Paid during the Reporting Quarter</w:t>
            </w:r>
          </w:p>
        </w:tc>
        <w:tc>
          <w:tcPr>
            <w:tcW w:type="dxa" w:w="6860"/>
          </w:tcPr>
          <w:p>
            <w:pPr>
              <w:spacing w:before="0" w:after="0" w:line="276" w:lineRule="auto"/>
            </w:pPr>
            <w:r>
              <w:rPr>
                <w:rFonts w:ascii="Arial" w:hAnsi="Arial" w:cs="Arial" w:eastAsia="Arial"/>
                <w:b/>
                <w:bCs/>
                <w:color w:val="0E1E3A"/>
                <w:sz w:val="18"/>
                <w:szCs w:val="18"/>
              </w:rPr>
              <w:t>According to the Unitholders' Register as at Close of Business on Sunday, 15 February 2026 (end of trading on Wednesday, 11 February 2026).</w:t>
            </w:r>
          </w:p>
        </w:tc>
      </w:tr>
    </w:tbl>
    <w:p>
      <w:pPr>
        <w:spacing w:before="0" w:after="40" w:line="300" w:lineRule="auto"/>
      </w:pP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will distribute returns on Fund investments, after deducting expenses, provisions and reserves, to Fund Unitholders semi-annually, with the exception of capital gains resulting from the sale of underlying assets, which may be reinvested in other assets or distributed in whole or in part at the Fund Manager’s discretion.</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will distribute dividends within (40) business days after the last day of each semiannual period and at the end of each Gregorian year, i.e. in August and February of each Gregorian year. Any distributed cash returns will be deposited in the Unitholder's investment Account. The Fund Manager may distribute the returns on the Fund’s investments, after deducting expenses and provisions, to Unitholders more than twice per year at the Fund Manager’s discretion.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1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l)</w:t>
      </w:r>
      <w:r>
        <w:rPr>
          <w:rFonts w:ascii="Arial" w:hAnsi="Arial" w:cs="Arial" w:eastAsia="Arial"/>
          <w:b/>
          <w:bCs/>
          <w:color w:val="3B7DD8"/>
          <w:sz w:val="26"/>
          <w:szCs w:val="26"/>
        </w:rPr>
        <w:t xml:space="preserve">  </w:t>
      </w:r>
      <w:r>
        <w:rPr>
          <w:rFonts w:ascii="Arial" w:hAnsi="Arial" w:cs="Arial" w:eastAsia="Arial"/>
          <w:b/>
          <w:bCs/>
          <w:color w:val="12284B"/>
          <w:sz w:val="26"/>
          <w:szCs w:val="26"/>
        </w:rPr>
        <w:t>Credit Rating of Underlying Debt Instruments of the Fund's Top Ten Investments, as follows: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Credit Rating of the Debt Instrument</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Credit Rating of the Issuer of the Debt Instrument</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Name of the Credit Rating Agency</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Date of the Credit Rating</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18"/>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m)</w:t>
      </w:r>
      <w:r>
        <w:rPr>
          <w:rFonts w:ascii="Arial" w:hAnsi="Arial" w:cs="Arial" w:eastAsia="Arial"/>
          <w:b/>
          <w:bCs/>
          <w:color w:val="3B7DD8"/>
          <w:sz w:val="26"/>
          <w:szCs w:val="26"/>
        </w:rPr>
        <w:t xml:space="preserve">  </w:t>
      </w:r>
      <w:r>
        <w:rPr>
          <w:rFonts w:ascii="Arial" w:hAnsi="Arial" w:cs="Arial" w:eastAsia="Arial"/>
          <w:b/>
          <w:bCs/>
          <w:color w:val="12284B"/>
          <w:sz w:val="26"/>
          <w:szCs w:val="26"/>
        </w:rPr>
        <w:t>Graph Showing the Distribution of Fund Assets (by Sector/Geography):</w:t>
      </w:r>
    </w:p>
    <w:p>
      <w:pPr>
        <w:spacing w:before="0" w:after="80" w:line="240" w:lineRule="auto"/>
        <w:jc w:val="center"/>
      </w:pPr>
      <w:r>
        <w:drawing>
          <wp:inline xmlns:a="http://schemas.openxmlformats.org/drawingml/2006/main" xmlns:pic="http://schemas.openxmlformats.org/drawingml/2006/picture">
            <wp:extent cx="6336000" cy="1836108"/>
            <wp:docPr id="16" name="Picture 9019"/>
            <wp:cNvGraphicFramePr>
              <a:graphicFrameLocks noChangeAspect="1"/>
            </wp:cNvGraphicFramePr>
            <a:graphic>
              <a:graphicData uri="http://schemas.openxmlformats.org/drawingml/2006/picture">
                <pic:pic>
                  <pic:nvPicPr>
                    <pic:cNvPr id="0" name="x3.j.jpg"/>
                    <pic:cNvPicPr/>
                  </pic:nvPicPr>
                  <pic:blipFill>
                    <a:blip r:embed="rId20"/>
                    <a:stretch>
                      <a:fillRect/>
                    </a:stretch>
                  </pic:blipFill>
                  <pic:spPr>
                    <a:xfrm>
                      <a:off x="0" y="0"/>
                      <a:ext cx="6336000" cy="1836108"/>
                    </a:xfrm>
                    <a:prstGeom prst="rect"/>
                  </pic:spPr>
                </pic:pic>
              </a:graphicData>
            </a:graphic>
          </wp:inline>
        </w:drawing>
      </w:r>
    </w:p>
    <w:p>
      <w:pPr>
        <w:spacing w:before="0" w:after="80" w:line="240" w:lineRule="auto"/>
        <w:jc w:val="center"/>
      </w:pPr>
      <w:r>
        <w:drawing>
          <wp:inline xmlns:a="http://schemas.openxmlformats.org/drawingml/2006/main" xmlns:pic="http://schemas.openxmlformats.org/drawingml/2006/picture">
            <wp:extent cx="6336000" cy="1836108"/>
            <wp:docPr id="17" name="Picture 9020"/>
            <wp:cNvGraphicFramePr>
              <a:graphicFrameLocks noChangeAspect="1"/>
            </wp:cNvGraphicFramePr>
            <a:graphic>
              <a:graphicData uri="http://schemas.openxmlformats.org/drawingml/2006/picture">
                <pic:pic>
                  <pic:nvPicPr>
                    <pic:cNvPr id="0" name="x4.j.jpg"/>
                    <pic:cNvPicPr/>
                  </pic:nvPicPr>
                  <pic:blipFill>
                    <a:blip r:embed="rId21"/>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 As at the beginning of the relevant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21"/>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n)</w:t>
      </w:r>
      <w:r>
        <w:rPr>
          <w:rFonts w:ascii="Arial" w:hAnsi="Arial" w:cs="Arial" w:eastAsia="Arial"/>
          <w:b/>
          <w:bCs/>
          <w:color w:val="3B7DD8"/>
          <w:sz w:val="26"/>
          <w:szCs w:val="26"/>
        </w:rP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(End of Q1)</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 to Net Asset Value per Unit (Fund Performance)*</w:t>
            </w:r>
          </w:p>
        </w:tc>
        <w:tc>
          <w:tcPr>
            <w:tcW w:type="dxa" w:w="1663"/>
          </w:tcPr>
          <w:p>
            <w:pPr>
              <w:spacing w:before="0" w:after="0" w:line="264" w:lineRule="auto"/>
            </w:pPr>
            <w:r>
              <w:rPr>
                <w:rFonts w:ascii="Arial" w:hAnsi="Arial" w:cs="Arial" w:eastAsia="Arial"/>
                <w:color w:val="0E1E3A"/>
                <w:sz w:val="17"/>
                <w:szCs w:val="17"/>
              </w:rPr>
              <w:t>1.68%</w:t>
            </w:r>
          </w:p>
        </w:tc>
        <w:tc>
          <w:tcPr>
            <w:tcW w:type="dxa" w:w="1663"/>
          </w:tcPr>
          <w:p>
            <w:pPr>
              <w:spacing w:before="0" w:after="0" w:line="264" w:lineRule="auto"/>
            </w:pPr>
            <w:r>
              <w:rPr>
                <w:rFonts w:ascii="Arial" w:hAnsi="Arial" w:cs="Arial" w:eastAsia="Arial"/>
                <w:color w:val="0E1E3A"/>
                <w:sz w:val="17"/>
                <w:szCs w:val="17"/>
              </w:rPr>
              <w:t>1.68%</w:t>
            </w:r>
          </w:p>
        </w:tc>
        <w:tc>
          <w:tcPr>
            <w:tcW w:type="dxa" w:w="1663"/>
          </w:tcPr>
          <w:p>
            <w:pPr>
              <w:spacing w:before="0" w:after="0" w:line="264" w:lineRule="auto"/>
            </w:pPr>
            <w:r>
              <w:rPr>
                <w:rFonts w:ascii="Arial" w:hAnsi="Arial" w:cs="Arial" w:eastAsia="Arial"/>
                <w:color w:val="0E1E3A"/>
                <w:sz w:val="17"/>
                <w:szCs w:val="17"/>
              </w:rPr>
              <w:t>7.53%</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1.06%</w:t>
            </w:r>
          </w:p>
        </w:tc>
        <w:tc>
          <w:tcPr>
            <w:tcW w:type="dxa" w:w="1663"/>
          </w:tcPr>
          <w:p>
            <w:pPr>
              <w:spacing w:before="0" w:after="0" w:line="264" w:lineRule="auto"/>
            </w:pPr>
            <w:r>
              <w:rPr>
                <w:rFonts w:ascii="Arial" w:hAnsi="Arial" w:cs="Arial" w:eastAsia="Arial"/>
                <w:color w:val="0E1E3A"/>
                <w:sz w:val="17"/>
                <w:szCs w:val="17"/>
              </w:rPr>
              <w:t>1.06%</w:t>
            </w:r>
          </w:p>
        </w:tc>
        <w:tc>
          <w:tcPr>
            <w:tcW w:type="dxa" w:w="1663"/>
          </w:tcPr>
          <w:p>
            <w:pPr>
              <w:spacing w:before="0" w:after="0" w:line="264" w:lineRule="auto"/>
            </w:pPr>
            <w:r>
              <w:rPr>
                <w:rFonts w:ascii="Arial" w:hAnsi="Arial" w:cs="Arial" w:eastAsia="Arial"/>
                <w:color w:val="0E1E3A"/>
                <w:sz w:val="17"/>
                <w:szCs w:val="17"/>
              </w:rPr>
              <w:t>4.88%</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0.63%</w:t>
            </w:r>
          </w:p>
        </w:tc>
        <w:tc>
          <w:tcPr>
            <w:tcW w:type="dxa" w:w="1663"/>
          </w:tcPr>
          <w:p>
            <w:pPr>
              <w:spacing w:before="0" w:after="0" w:line="264" w:lineRule="auto"/>
            </w:pPr>
            <w:r>
              <w:rPr>
                <w:rFonts w:ascii="Arial" w:hAnsi="Arial" w:cs="Arial" w:eastAsia="Arial"/>
                <w:color w:val="0E1E3A"/>
                <w:sz w:val="17"/>
                <w:szCs w:val="17"/>
              </w:rPr>
              <w:t>0.63%</w:t>
            </w:r>
          </w:p>
        </w:tc>
        <w:tc>
          <w:tcPr>
            <w:tcW w:type="dxa" w:w="1663"/>
          </w:tcPr>
          <w:p>
            <w:pPr>
              <w:spacing w:before="0" w:after="0" w:line="264" w:lineRule="auto"/>
            </w:pPr>
            <w:r>
              <w:rPr>
                <w:rFonts w:ascii="Arial" w:hAnsi="Arial" w:cs="Arial" w:eastAsia="Arial"/>
                <w:color w:val="0E1E3A"/>
                <w:sz w:val="17"/>
                <w:szCs w:val="17"/>
              </w:rPr>
              <w:t>2.65%</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Total Return = NAV/Unit plus dividend distributions.</w:t>
      </w:r>
      <w:r>
        <w:br/>
      </w:r>
      <w:r>
        <w:rPr>
          <w:rFonts w:ascii="Arial" w:hAnsi="Arial" w:cs="Arial" w:eastAsia="Arial"/>
          <w:color w:val="5A6478"/>
          <w:sz w:val="17"/>
          <w:szCs w:val="17"/>
        </w:rPr>
        <w:t>** For the period from 1 January 2026 to 31 March 2026.</w:t>
      </w:r>
      <w:r>
        <w:br/>
      </w:r>
      <w:r>
        <w:rPr>
          <w:rFonts w:ascii="Arial" w:hAnsi="Arial" w:cs="Arial" w:eastAsia="Arial"/>
          <w:color w:val="5A6478"/>
          <w:sz w:val="17"/>
          <w:szCs w:val="17"/>
        </w:rPr>
        <w:t>*** For the period from 31 March 2025 to 31 March 2026.</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22"/>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o)</w:t>
      </w:r>
      <w:r>
        <w:rPr>
          <w:rFonts w:ascii="Arial" w:hAnsi="Arial" w:cs="Arial" w:eastAsia="Arial"/>
          <w:b/>
          <w:bCs/>
          <w:color w:val="3B7DD8"/>
          <w:sz w:val="26"/>
          <w:szCs w:val="26"/>
        </w:rPr>
        <w:t xml:space="preserve">  </w:t>
      </w:r>
      <w:r>
        <w:rPr>
          <w:rFonts w:ascii="Arial" w:hAnsi="Arial" w:cs="Arial" w:eastAsia="Arial"/>
          <w:b/>
          <w:bCs/>
          <w:color w:val="12284B"/>
          <w:sz w:val="26"/>
          <w:szCs w:val="26"/>
        </w:rPr>
        <w:t>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(End of Q1)</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 **</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w:t>
            </w:r>
          </w:p>
        </w:tc>
        <w:tc>
          <w:tcPr>
            <w:tcW w:type="dxa" w:w="1663"/>
          </w:tcPr>
          <w:p>
            <w:pPr>
              <w:spacing w:before="0" w:after="0" w:line="264" w:lineRule="auto"/>
            </w:pPr>
            <w:r>
              <w:rPr>
                <w:rFonts w:ascii="Arial" w:hAnsi="Arial" w:cs="Arial" w:eastAsia="Arial"/>
                <w:color w:val="0E1E3A"/>
                <w:sz w:val="17"/>
                <w:szCs w:val="17"/>
              </w:rPr>
              <w:t>13.71</w:t>
            </w:r>
          </w:p>
        </w:tc>
        <w:tc>
          <w:tcPr>
            <w:tcW w:type="dxa" w:w="1663"/>
          </w:tcPr>
          <w:p>
            <w:pPr>
              <w:spacing w:before="0" w:after="0" w:line="264" w:lineRule="auto"/>
            </w:pPr>
            <w:r>
              <w:rPr>
                <w:rFonts w:ascii="Arial" w:hAnsi="Arial" w:cs="Arial" w:eastAsia="Arial"/>
                <w:color w:val="0E1E3A"/>
                <w:sz w:val="17"/>
                <w:szCs w:val="17"/>
              </w:rPr>
              <w:t>13.71</w:t>
            </w:r>
          </w:p>
        </w:tc>
        <w:tc>
          <w:tcPr>
            <w:tcW w:type="dxa" w:w="1663"/>
          </w:tcPr>
          <w:p>
            <w:pPr>
              <w:spacing w:before="0" w:after="0" w:line="264" w:lineRule="auto"/>
            </w:pPr>
            <w:r>
              <w:rPr>
                <w:rFonts w:ascii="Arial" w:hAnsi="Arial" w:cs="Arial" w:eastAsia="Arial"/>
                <w:color w:val="0E1E3A"/>
                <w:sz w:val="17"/>
                <w:szCs w:val="17"/>
              </w:rPr>
              <w:t>8.82</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w:t>
            </w:r>
          </w:p>
        </w:tc>
        <w:tc>
          <w:tcPr>
            <w:tcW w:type="dxa" w:w="1663"/>
          </w:tcPr>
          <w:p>
            <w:pPr>
              <w:spacing w:before="0" w:after="0" w:line="264" w:lineRule="auto"/>
            </w:pPr>
            <w:r>
              <w:rPr>
                <w:rFonts w:ascii="Arial" w:hAnsi="Arial" w:cs="Arial" w:eastAsia="Arial"/>
                <w:color w:val="0E1E3A"/>
                <w:sz w:val="17"/>
                <w:szCs w:val="17"/>
              </w:rPr>
              <w:t>1.71</w:t>
            </w:r>
          </w:p>
        </w:tc>
        <w:tc>
          <w:tcPr>
            <w:tcW w:type="dxa" w:w="1663"/>
          </w:tcPr>
          <w:p>
            <w:pPr>
              <w:spacing w:before="0" w:after="0" w:line="264" w:lineRule="auto"/>
            </w:pPr>
            <w:r>
              <w:rPr>
                <w:rFonts w:ascii="Arial" w:hAnsi="Arial" w:cs="Arial" w:eastAsia="Arial"/>
                <w:color w:val="0E1E3A"/>
                <w:sz w:val="17"/>
                <w:szCs w:val="17"/>
              </w:rPr>
              <w:t>1.71</w:t>
            </w:r>
          </w:p>
        </w:tc>
        <w:tc>
          <w:tcPr>
            <w:tcW w:type="dxa" w:w="1663"/>
          </w:tcPr>
          <w:p>
            <w:pPr>
              <w:spacing w:before="0" w:after="0" w:line="264" w:lineRule="auto"/>
            </w:pPr>
            <w:r>
              <w:rPr>
                <w:rFonts w:ascii="Arial" w:hAnsi="Arial" w:cs="Arial" w:eastAsia="Arial"/>
                <w:color w:val="0E1E3A"/>
                <w:sz w:val="17"/>
                <w:szCs w:val="17"/>
              </w:rPr>
              <w:t>1.09</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w:t>
            </w:r>
          </w:p>
        </w:tc>
        <w:tc>
          <w:tcPr>
            <w:tcW w:type="dxa" w:w="1663"/>
          </w:tcPr>
          <w:p>
            <w:pPr>
              <w:spacing w:before="0" w:after="0" w:line="264" w:lineRule="auto"/>
            </w:pPr>
            <w:r>
              <w:rPr>
                <w:rFonts w:ascii="Arial" w:hAnsi="Arial" w:cs="Arial" w:eastAsia="Arial"/>
                <w:color w:val="0E1E3A"/>
                <w:sz w:val="17"/>
                <w:szCs w:val="17"/>
              </w:rPr>
              <w:t>0.14</w:t>
            </w:r>
          </w:p>
        </w:tc>
        <w:tc>
          <w:tcPr>
            <w:tcW w:type="dxa" w:w="1663"/>
          </w:tcPr>
          <w:p>
            <w:pPr>
              <w:spacing w:before="0" w:after="0" w:line="264" w:lineRule="auto"/>
            </w:pPr>
            <w:r>
              <w:rPr>
                <w:rFonts w:ascii="Arial" w:hAnsi="Arial" w:cs="Arial" w:eastAsia="Arial"/>
                <w:color w:val="0E1E3A"/>
                <w:sz w:val="17"/>
                <w:szCs w:val="17"/>
              </w:rPr>
              <w:t>0.14</w:t>
            </w:r>
          </w:p>
        </w:tc>
        <w:tc>
          <w:tcPr>
            <w:tcW w:type="dxa" w:w="1663"/>
          </w:tcPr>
          <w:p>
            <w:pPr>
              <w:spacing w:before="0" w:after="0" w:line="264" w:lineRule="auto"/>
            </w:pPr>
            <w:r>
              <w:rPr>
                <w:rFonts w:ascii="Arial" w:hAnsi="Arial" w:cs="Arial" w:eastAsia="Arial"/>
                <w:color w:val="0E1E3A"/>
                <w:sz w:val="17"/>
                <w:szCs w:val="17"/>
              </w:rPr>
              <w:t>0.09</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w:t>
            </w:r>
          </w:p>
        </w:tc>
        <w:tc>
          <w:tcPr>
            <w:tcW w:type="dxa" w:w="1663"/>
          </w:tcPr>
          <w:p>
            <w:pPr>
              <w:spacing w:before="0" w:after="0" w:line="264" w:lineRule="auto"/>
            </w:pPr>
            <w:r>
              <w:rPr>
                <w:rFonts w:ascii="Arial" w:hAnsi="Arial" w:cs="Arial" w:eastAsia="Arial"/>
                <w:color w:val="0E1E3A"/>
                <w:sz w:val="17"/>
                <w:szCs w:val="17"/>
              </w:rPr>
              <w:t>-29.00</w:t>
            </w:r>
          </w:p>
        </w:tc>
        <w:tc>
          <w:tcPr>
            <w:tcW w:type="dxa" w:w="1663"/>
          </w:tcPr>
          <w:p>
            <w:pPr>
              <w:spacing w:before="0" w:after="0" w:line="264" w:lineRule="auto"/>
            </w:pPr>
            <w:r>
              <w:rPr>
                <w:rFonts w:ascii="Arial" w:hAnsi="Arial" w:cs="Arial" w:eastAsia="Arial"/>
                <w:color w:val="0E1E3A"/>
                <w:sz w:val="17"/>
                <w:szCs w:val="17"/>
              </w:rPr>
              <w:t>-29.00</w:t>
            </w:r>
          </w:p>
        </w:tc>
        <w:tc>
          <w:tcPr>
            <w:tcW w:type="dxa" w:w="1663"/>
          </w:tcPr>
          <w:p>
            <w:pPr>
              <w:spacing w:before="0" w:after="0" w:line="264" w:lineRule="auto"/>
            </w:pPr>
            <w:r>
              <w:rPr>
                <w:rFonts w:ascii="Arial" w:hAnsi="Arial" w:cs="Arial" w:eastAsia="Arial"/>
                <w:color w:val="0E1E3A"/>
                <w:sz w:val="17"/>
                <w:szCs w:val="17"/>
              </w:rPr>
              <w:t>-26.67</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w:t>
            </w:r>
          </w:p>
        </w:tc>
        <w:tc>
          <w:tcPr>
            <w:tcW w:type="dxa" w:w="1663"/>
          </w:tcPr>
          <w:p>
            <w:pPr>
              <w:spacing w:before="0" w:after="0" w:line="264" w:lineRule="auto"/>
            </w:pPr>
            <w:r>
              <w:rPr>
                <w:rFonts w:ascii="Arial" w:hAnsi="Arial" w:cs="Arial" w:eastAsia="Arial"/>
                <w:color w:val="0E1E3A"/>
                <w:sz w:val="17"/>
                <w:szCs w:val="17"/>
              </w:rPr>
              <w:t>1.53</w:t>
            </w:r>
          </w:p>
        </w:tc>
        <w:tc>
          <w:tcPr>
            <w:tcW w:type="dxa" w:w="1663"/>
          </w:tcPr>
          <w:p>
            <w:pPr>
              <w:spacing w:before="0" w:after="0" w:line="264" w:lineRule="auto"/>
            </w:pPr>
            <w:r>
              <w:rPr>
                <w:rFonts w:ascii="Arial" w:hAnsi="Arial" w:cs="Arial" w:eastAsia="Arial"/>
                <w:color w:val="0E1E3A"/>
                <w:sz w:val="17"/>
                <w:szCs w:val="17"/>
              </w:rPr>
              <w:t>1.53</w:t>
            </w:r>
          </w:p>
        </w:tc>
        <w:tc>
          <w:tcPr>
            <w:tcW w:type="dxa" w:w="1663"/>
          </w:tcPr>
          <w:p>
            <w:pPr>
              <w:spacing w:before="0" w:after="0" w:line="264" w:lineRule="auto"/>
            </w:pPr>
            <w:r>
              <w:rPr>
                <w:rFonts w:ascii="Arial" w:hAnsi="Arial" w:cs="Arial" w:eastAsia="Arial"/>
                <w:color w:val="0E1E3A"/>
                <w:sz w:val="17"/>
                <w:szCs w:val="17"/>
              </w:rPr>
              <w:t>1.32</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w:t>
            </w:r>
          </w:p>
        </w:tc>
        <w:tc>
          <w:tcPr>
            <w:tcW w:type="dxa" w:w="1663"/>
          </w:tcPr>
          <w:p>
            <w:pPr>
              <w:spacing w:before="0" w:after="0" w:line="264" w:lineRule="auto"/>
            </w:pPr>
            <w:r>
              <w:rPr>
                <w:rFonts w:ascii="Arial" w:hAnsi="Arial" w:cs="Arial" w:eastAsia="Arial"/>
                <w:color w:val="0E1E3A"/>
                <w:sz w:val="17"/>
                <w:szCs w:val="17"/>
              </w:rPr>
              <w:t>1.59</w:t>
            </w:r>
          </w:p>
        </w:tc>
        <w:tc>
          <w:tcPr>
            <w:tcW w:type="dxa" w:w="1663"/>
          </w:tcPr>
          <w:p>
            <w:pPr>
              <w:spacing w:before="0" w:after="0" w:line="264" w:lineRule="auto"/>
            </w:pPr>
            <w:r>
              <w:rPr>
                <w:rFonts w:ascii="Arial" w:hAnsi="Arial" w:cs="Arial" w:eastAsia="Arial"/>
                <w:color w:val="0E1E3A"/>
                <w:sz w:val="17"/>
                <w:szCs w:val="17"/>
              </w:rPr>
              <w:t>1.59</w:t>
            </w:r>
          </w:p>
        </w:tc>
        <w:tc>
          <w:tcPr>
            <w:tcW w:type="dxa" w:w="1663"/>
          </w:tcPr>
          <w:p>
            <w:pPr>
              <w:spacing w:before="0" w:after="0" w:line="264" w:lineRule="auto"/>
            </w:pPr>
            <w:r>
              <w:rPr>
                <w:rFonts w:ascii="Arial" w:hAnsi="Arial" w:cs="Arial" w:eastAsia="Arial"/>
                <w:color w:val="0E1E3A"/>
                <w:sz w:val="17"/>
                <w:szCs w:val="17"/>
              </w:rPr>
              <w:t>1.64</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1 January 2026 to 31 March 2026.</w:t>
      </w:r>
      <w:r>
        <w:br/>
      </w:r>
      <w:r>
        <w:rPr>
          <w:rFonts w:ascii="Arial" w:hAnsi="Arial" w:cs="Arial" w:eastAsia="Arial"/>
          <w:color w:val="5A6478"/>
          <w:sz w:val="17"/>
          <w:szCs w:val="17"/>
        </w:rPr>
        <w:t>** For the period from 31 March 2025 to 31 March 2026.</w:t>
      </w:r>
      <w:r>
        <w:br/>
      </w:r>
      <w:r>
        <w:rPr>
          <w:rFonts w:ascii="Arial" w:hAnsi="Arial" w:cs="Arial" w:eastAsia="Arial"/>
          <w:color w:val="5A6478"/>
          <w:sz w:val="17"/>
          <w:szCs w:val="17"/>
        </w:rPr>
        <w:t>*** Not applicable as at the Listing Date of 17 July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23"/>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p)</w:t>
      </w:r>
      <w:r>
        <w:rPr>
          <w:rFonts w:ascii="Arial" w:hAnsi="Arial" w:cs="Arial" w:eastAsia="Arial"/>
          <w:b/>
          <w:bCs/>
          <w:color w:val="3B7DD8"/>
          <w:sz w:val="26"/>
          <w:szCs w:val="26"/>
        </w:rPr>
        <w:t xml:space="preserve">  </w:t>
      </w:r>
      <w:r>
        <w:rPr>
          <w:rFonts w:ascii="Arial" w:hAnsi="Arial" w:cs="Arial" w:eastAsia="Arial"/>
          <w:b/>
          <w:bCs/>
          <w:color w:val="12284B"/>
          <w:sz w:val="26"/>
          <w:szCs w:val="26"/>
        </w:rPr>
        <w:t>Equations Used to Calculate Performance and Risk:</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spacing w:before="0" w:after="0" w:line="264" w:lineRule="auto"/>
            </w:pPr>
            <w:r>
              <w:rPr>
                <w:rFonts w:ascii="Arial" w:hAnsi="Arial" w:cs="Arial" w:eastAsia="Arial"/>
                <w:color w:val="0E1E3A"/>
                <w:sz w:val="17"/>
                <w:szCs w:val="17"/>
              </w:rPr>
              <w:t>Standard Deviation</w:t>
            </w:r>
          </w:p>
        </w:tc>
        <w:tc>
          <w:tcPr>
            <w:tcW w:type="dxa" w:w="3326"/>
          </w:tcPr>
          <w:p>
            <w:pPr>
              <w:spacing w:before="0" w:after="0" w:line="264" w:lineRule="auto"/>
            </w:pPr>
            <w:r>
              <w:rPr>
                <w:rFonts w:ascii="Arial" w:hAnsi="Arial" w:cs="Arial" w:eastAsia="Arial"/>
                <w:color w:val="0E1E3A"/>
                <w:sz w:val="17"/>
                <w:szCs w:val="17"/>
              </w:rPr>
              <w:t>σp = √[ 1/(N − 1) · Σ(Rp,i − Rp)²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N = Number of periods</w:t>
            </w:r>
          </w:p>
        </w:tc>
      </w:tr>
      <w:tr>
        <w:tc>
          <w:tcPr>
            <w:tcW w:type="dxa" w:w="3326"/>
          </w:tcPr>
          <w:p>
            <w:pPr>
              <w:spacing w:before="0" w:after="0" w:line="264" w:lineRule="auto"/>
            </w:pPr>
            <w:r>
              <w:rPr>
                <w:rFonts w:ascii="Arial" w:hAnsi="Arial" w:cs="Arial" w:eastAsia="Arial"/>
                <w:color w:val="0E1E3A"/>
                <w:sz w:val="17"/>
                <w:szCs w:val="17"/>
              </w:rPr>
              <w:t>Sharpe Ratio</w:t>
            </w:r>
          </w:p>
        </w:tc>
        <w:tc>
          <w:tcPr>
            <w:tcW w:type="dxa" w:w="3326"/>
          </w:tcPr>
          <w:p>
            <w:pPr>
              <w:spacing w:before="0" w:after="0" w:line="264" w:lineRule="auto"/>
            </w:pPr>
            <w:r>
              <w:rPr>
                <w:rFonts w:ascii="Arial" w:hAnsi="Arial" w:cs="Arial" w:eastAsia="Arial"/>
                <w:color w:val="0E1E3A"/>
                <w:sz w:val="17"/>
                <w:szCs w:val="17"/>
              </w:rPr>
              <w:t>[(Average Annualised Return − Risk Free Rate) ÷ Standard Deviation]</w:t>
            </w:r>
          </w:p>
        </w:tc>
        <w:tc>
          <w:tcPr>
            <w:tcW w:type="dxa" w:w="3326"/>
          </w:tcPr>
          <w:p>
            <w:pPr>
              <w:spacing w:before="0" w:after="0" w:line="264" w:lineRule="auto"/>
            </w:pPr>
          </w:p>
        </w:tc>
      </w:tr>
      <w:tr>
        <w:tc>
          <w:tcPr>
            <w:tcW w:type="dxa" w:w="3326"/>
          </w:tcPr>
          <w:p>
            <w:pPr>
              <w:spacing w:before="0" w:after="0" w:line="264" w:lineRule="auto"/>
            </w:pPr>
            <w:r>
              <w:rPr>
                <w:rFonts w:ascii="Arial" w:hAnsi="Arial" w:cs="Arial" w:eastAsia="Arial"/>
                <w:color w:val="0E1E3A"/>
                <w:sz w:val="17"/>
                <w:szCs w:val="17"/>
              </w:rPr>
              <w:t>Tracking Error</w:t>
            </w:r>
          </w:p>
        </w:tc>
        <w:tc>
          <w:tcPr>
            <w:tcW w:type="dxa" w:w="3326"/>
          </w:tcPr>
          <w:p>
            <w:pPr>
              <w:spacing w:before="0" w:after="0" w:line="264" w:lineRule="auto"/>
            </w:pPr>
            <w:r>
              <w:rPr>
                <w:rFonts w:ascii="Arial" w:hAnsi="Arial" w:cs="Arial" w:eastAsia="Arial"/>
                <w:color w:val="0E1E3A"/>
                <w:sz w:val="17"/>
                <w:szCs w:val="17"/>
              </w:rPr>
              <w:t>TE = √[ 1/(N − 1) · Σ[(Rp,i − Rb,i) − (Rp − Rb)]² ]</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Rp,i = Portfolio return in period i</w:t>
            </w:r>
            <w:r>
              <w:br/>
            </w:r>
            <w:r>
              <w:rPr>
                <w:rFonts w:ascii="Arial" w:hAnsi="Arial" w:cs="Arial" w:eastAsia="Arial"/>
                <w:color w:val="0E1E3A"/>
                <w:sz w:val="17"/>
                <w:szCs w:val="17"/>
              </w:rPr>
              <w:t>Rb,i = Portfolio return in period i</w:t>
            </w:r>
            <w:r>
              <w:br/>
            </w:r>
            <w:r>
              <w:rPr>
                <w:rFonts w:ascii="Arial" w:hAnsi="Arial" w:cs="Arial" w:eastAsia="Arial"/>
                <w:color w:val="0E1E3A"/>
                <w:sz w:val="17"/>
                <w:szCs w:val="17"/>
              </w:rPr>
              <w:t>Rp = Average portfolio return</w:t>
            </w:r>
            <w:r>
              <w:br/>
            </w:r>
            <w:r>
              <w:rPr>
                <w:rFonts w:ascii="Arial" w:hAnsi="Arial" w:cs="Arial" w:eastAsia="Arial"/>
                <w:color w:val="0E1E3A"/>
                <w:sz w:val="17"/>
                <w:szCs w:val="17"/>
              </w:rPr>
              <w:t>Rb = Average portfolio return</w:t>
            </w:r>
            <w:r>
              <w:br/>
            </w:r>
            <w:r>
              <w:rPr>
                <w:rFonts w:ascii="Arial" w:hAnsi="Arial" w:cs="Arial" w:eastAsia="Arial"/>
                <w:color w:val="0E1E3A"/>
                <w:sz w:val="17"/>
                <w:szCs w:val="17"/>
              </w:rPr>
              <w:t>N = Number of periods</w:t>
            </w:r>
          </w:p>
        </w:tc>
      </w:tr>
      <w:tr>
        <w:tc>
          <w:tcPr>
            <w:tcW w:type="dxa" w:w="3326"/>
          </w:tcPr>
          <w:p>
            <w:pPr>
              <w:spacing w:before="0" w:after="0" w:line="264" w:lineRule="auto"/>
            </w:pPr>
            <w:r>
              <w:rPr>
                <w:rFonts w:ascii="Arial" w:hAnsi="Arial" w:cs="Arial" w:eastAsia="Arial"/>
                <w:color w:val="0E1E3A"/>
                <w:sz w:val="17"/>
                <w:szCs w:val="17"/>
              </w:rPr>
              <w:t>Beta</w:t>
            </w:r>
          </w:p>
        </w:tc>
        <w:tc>
          <w:tcPr>
            <w:tcW w:type="dxa" w:w="3326"/>
          </w:tcPr>
          <w:p>
            <w:pPr>
              <w:spacing w:before="0" w:after="0" w:line="264" w:lineRule="auto"/>
            </w:pPr>
            <w:r>
              <w:rPr>
                <w:rFonts w:ascii="Arial" w:hAnsi="Arial" w:cs="Arial" w:eastAsia="Arial"/>
                <w:color w:val="0E1E3A"/>
                <w:sz w:val="17"/>
                <w:szCs w:val="17"/>
              </w:rPr>
              <w:t>β = Cov(Rp, Rb) / Var (Rb)</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Cov(Rp, Rb)= covariance between portfolio and benchmark returns</w:t>
            </w:r>
            <w:r>
              <w:br/>
            </w:r>
            <w:r>
              <w:rPr>
                <w:rFonts w:ascii="Arial" w:hAnsi="Arial" w:cs="Arial" w:eastAsia="Arial"/>
                <w:color w:val="0E1E3A"/>
                <w:sz w:val="17"/>
                <w:szCs w:val="17"/>
              </w:rPr>
              <w:t>Var (Rb)= variance of benchmark returns</w:t>
            </w:r>
          </w:p>
        </w:tc>
      </w:tr>
      <w:tr>
        <w:tc>
          <w:tcPr>
            <w:tcW w:type="dxa" w:w="3326"/>
          </w:tcPr>
          <w:p>
            <w:pPr>
              <w:spacing w:before="0" w:after="0" w:line="264" w:lineRule="auto"/>
            </w:pPr>
            <w:r>
              <w:rPr>
                <w:rFonts w:ascii="Arial" w:hAnsi="Arial" w:cs="Arial" w:eastAsia="Arial"/>
                <w:color w:val="0E1E3A"/>
                <w:sz w:val="17"/>
                <w:szCs w:val="17"/>
              </w:rPr>
              <w:t>Alpha</w:t>
            </w:r>
          </w:p>
        </w:tc>
        <w:tc>
          <w:tcPr>
            <w:tcW w:type="dxa" w:w="3326"/>
          </w:tcPr>
          <w:p>
            <w:pPr>
              <w:spacing w:before="0" w:after="0" w:line="264" w:lineRule="auto"/>
            </w:pPr>
            <w:r>
              <w:rPr>
                <w:rFonts w:ascii="Arial" w:hAnsi="Arial" w:cs="Arial" w:eastAsia="Arial"/>
                <w:color w:val="0E1E3A"/>
                <w:sz w:val="17"/>
                <w:szCs w:val="17"/>
              </w:rPr>
              <w:t>α = Rp − [ Rf + β ∗ (Rb − Rf)]</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 average portfolio return</w:t>
            </w:r>
            <w:r>
              <w:br/>
            </w:r>
            <w:r>
              <w:rPr>
                <w:rFonts w:ascii="Arial" w:hAnsi="Arial" w:cs="Arial" w:eastAsia="Arial"/>
                <w:color w:val="0E1E3A"/>
                <w:sz w:val="17"/>
                <w:szCs w:val="17"/>
              </w:rPr>
              <w:t>(Rb)= average benchmark return</w:t>
            </w:r>
            <w:r>
              <w:br/>
            </w:r>
            <w:r>
              <w:rPr>
                <w:rFonts w:ascii="Arial" w:hAnsi="Arial" w:cs="Arial" w:eastAsia="Arial"/>
                <w:color w:val="0E1E3A"/>
                <w:sz w:val="17"/>
                <w:szCs w:val="17"/>
              </w:rPr>
              <w:t>(Rf)= risk free rate</w:t>
            </w:r>
            <w:r>
              <w:br/>
            </w:r>
            <w:r>
              <w:rPr>
                <w:rFonts w:ascii="Arial" w:hAnsi="Arial" w:cs="Arial" w:eastAsia="Arial"/>
                <w:color w:val="0E1E3A"/>
                <w:sz w:val="17"/>
                <w:szCs w:val="17"/>
              </w:rPr>
              <w:t>β= portfolio beta</w:t>
            </w:r>
          </w:p>
        </w:tc>
      </w:tr>
      <w:tr>
        <w:tc>
          <w:tcPr>
            <w:tcW w:type="dxa" w:w="3326"/>
          </w:tcPr>
          <w:p>
            <w:pPr>
              <w:spacing w:before="0" w:after="0" w:line="264" w:lineRule="auto"/>
            </w:pPr>
            <w:r>
              <w:rPr>
                <w:rFonts w:ascii="Arial" w:hAnsi="Arial" w:cs="Arial" w:eastAsia="Arial"/>
                <w:color w:val="0E1E3A"/>
                <w:sz w:val="17"/>
                <w:szCs w:val="17"/>
              </w:rPr>
              <w:t>Information Ratio</w:t>
            </w:r>
          </w:p>
        </w:tc>
        <w:tc>
          <w:tcPr>
            <w:tcW w:type="dxa" w:w="3326"/>
          </w:tcPr>
          <w:p>
            <w:pPr>
              <w:spacing w:before="0" w:after="0" w:line="264" w:lineRule="auto"/>
            </w:pPr>
            <w:r>
              <w:rPr>
                <w:rFonts w:ascii="Arial" w:hAnsi="Arial" w:cs="Arial" w:eastAsia="Arial"/>
                <w:color w:val="0E1E3A"/>
                <w:sz w:val="17"/>
                <w:szCs w:val="17"/>
              </w:rPr>
              <w:t>IR = (Rp − Rb) / σ (Rp − Rb)</w:t>
            </w:r>
          </w:p>
        </w:tc>
        <w:tc>
          <w:tcPr>
            <w:tcW w:type="dxa" w:w="3326"/>
          </w:tcPr>
          <w:p>
            <w:pPr>
              <w:spacing w:before="0" w:after="0" w:line="264" w:lineRule="auto"/>
            </w:pPr>
            <w:r>
              <w:rPr>
                <w:rFonts w:ascii="Arial" w:hAnsi="Arial" w:cs="Arial" w:eastAsia="Arial"/>
                <w:color w:val="0E1E3A"/>
                <w:sz w:val="17"/>
                <w:szCs w:val="17"/>
              </w:rPr>
              <w:t>where</w:t>
            </w:r>
            <w:r>
              <w:br/>
            </w:r>
            <w:r>
              <w:rPr>
                <w:rFonts w:ascii="Arial" w:hAnsi="Arial" w:cs="Arial" w:eastAsia="Arial"/>
                <w:color w:val="0E1E3A"/>
                <w:sz w:val="17"/>
                <w:szCs w:val="17"/>
              </w:rPr>
              <w:t>Rp = Return of the portfolio</w:t>
            </w:r>
            <w:r>
              <w:br/>
            </w:r>
            <w:r>
              <w:rPr>
                <w:rFonts w:ascii="Arial" w:hAnsi="Arial" w:cs="Arial" w:eastAsia="Arial"/>
                <w:color w:val="0E1E3A"/>
                <w:sz w:val="17"/>
                <w:szCs w:val="17"/>
              </w:rPr>
              <w:t>Rb = Return of the benchmark</w:t>
            </w:r>
            <w:r>
              <w:br/>
            </w:r>
            <w:r>
              <w:rPr>
                <w:rFonts w:ascii="Arial" w:hAnsi="Arial" w:cs="Arial" w:eastAsia="Arial"/>
                <w:color w:val="0E1E3A"/>
                <w:sz w:val="17"/>
                <w:szCs w:val="17"/>
              </w:rPr>
              <w:t>Rp-Rb = Active return (the difference between portfolio and benchmark returns</w:t>
            </w:r>
            <w:r>
              <w:br/>
            </w:r>
            <w:r>
              <w:rPr>
                <w:rFonts w:ascii="Arial" w:hAnsi="Arial" w:cs="Arial" w:eastAsia="Arial"/>
                <w:color w:val="0E1E3A"/>
                <w:sz w:val="17"/>
                <w:szCs w:val="17"/>
              </w:rPr>
              <w:t>σ(Rp−Rb) = Tracking error (standard deviation of the active return)</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24"/>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Pr>
        <w:t>q)</w:t>
      </w:r>
      <w:r>
        <w:rPr>
          <w:rFonts w:ascii="Arial" w:hAnsi="Arial" w:cs="Arial" w:eastAsia="Arial"/>
          <w:b/>
          <w:bCs/>
          <w:color w:val="3B7DD8"/>
          <w:sz w:val="26"/>
          <w:szCs w:val="26"/>
        </w:rPr>
        <w:t xml:space="preserve">  </w:t>
      </w:r>
      <w:r>
        <w:rPr>
          <w:rFonts w:ascii="Arial" w:hAnsi="Arial" w:cs="Arial" w:eastAsia="Arial"/>
          <w:b/>
          <w:bCs/>
          <w:color w:val="12284B"/>
          <w:sz w:val="26"/>
          <w:szCs w:val="26"/>
        </w:rPr>
        <w:t>Graph Depicting Performance Since the Inception of the Fund:</w:t>
      </w:r>
    </w:p>
    <w:p>
      <w:pPr>
        <w:spacing w:before="0" w:after="80" w:line="240" w:lineRule="auto"/>
        <w:jc w:val="center"/>
      </w:pPr>
      <w:r>
        <w:drawing>
          <wp:inline xmlns:a="http://schemas.openxmlformats.org/drawingml/2006/main" xmlns:pic="http://schemas.openxmlformats.org/drawingml/2006/picture">
            <wp:extent cx="6336000" cy="2730378"/>
            <wp:docPr id="22" name="Picture 9025"/>
            <wp:cNvGraphicFramePr>
              <a:graphicFrameLocks noChangeAspect="1"/>
            </wp:cNvGraphicFramePr>
            <a:graphic>
              <a:graphicData uri="http://schemas.openxmlformats.org/drawingml/2006/picture">
                <pic:pic>
                  <pic:nvPicPr>
                    <pic:cNvPr id="0" name="x5.j.jpg"/>
                    <pic:cNvPicPr/>
                  </pic:nvPicPr>
                  <pic:blipFill>
                    <a:blip r:embed="rId24"/>
                    <a:stretch>
                      <a:fillRect/>
                    </a:stretch>
                  </pic:blipFill>
                  <pic:spPr>
                    <a:xfrm>
                      <a:off x="0" y="0"/>
                      <a:ext cx="6336000" cy="2730378"/>
                    </a:xfrm>
                    <a:prstGeom prst="rect"/>
                  </pic:spPr>
                </pic:pic>
              </a:graphicData>
            </a:graphic>
          </wp:inline>
        </w:drawing>
      </w:r>
    </w:p>
    <w:p>
      <w:pPr>
        <w:spacing w:before="0" w:after="80" w:line="312" w:lineRule="auto"/>
      </w:pPr>
      <w:r>
        <w:rPr>
          <w:rFonts w:ascii="Arial" w:hAnsi="Arial" w:cs="Arial" w:eastAsia="Arial"/>
          <w:color w:val="5A6478"/>
          <w:sz w:val="17"/>
          <w:szCs w:val="17"/>
        </w:rPr>
        <w:t>As at 31 March 2026.</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26"/>
            <wp:cNvGraphicFramePr>
              <a:graphicFrameLocks noChangeAspect="1"/>
            </wp:cNvGraphicFramePr>
            <a:graphic>
              <a:graphicData uri="http://schemas.openxmlformats.org/drawingml/2006/picture">
                <pic:pic>
                  <pic:nvPicPr>
                    <pic:cNvPr id="0" name="ico_8eba3796ad497c7a142d47da7c90fea0.png"/>
                    <pic:cNvPicPr/>
                  </pic:nvPicPr>
                  <pic:blipFill>
                    <a:blip r:embed="rId1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27"/>
            <wp:cNvGraphicFramePr>
              <a:graphicFrameLocks noChangeAspect="1"/>
            </wp:cNvGraphicFramePr>
            <a:graphic>
              <a:graphicData uri="http://schemas.openxmlformats.org/drawingml/2006/picture">
                <pic:pic>
                  <pic:nvPicPr>
                    <pic:cNvPr id="0" name="ico_31799530e5dd3dc5b4ca7f2d37945432.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2030, nor shall it (or any part of it) form the basis of, or be relied on, in connection with, or act as inducement to enter into any contract whatsoever. Prospective investors should read carefully Alkhabeer Diversified Income Traded Fund’s 2030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2030 — Quarterly Statement Q1 2026</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