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2"/>
            <wp:cNvGraphicFramePr/>
            <a:graphic>
              <a:graphicData uri="http://schemas.openxmlformats.org/drawingml/2006/picture">
                <pic:pic>
                  <pic:nvPicPr>
                    <pic:cNvPr id="9002" name="banner900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2030 المتداول"، هو صندوق استثمار عام متداول مغلق متوافق مع ضوابط لجنة الرقابة الشرعية، تم إنشاؤه بموجب لائحة صناديق الاستثمار والأنظمة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AKDI2030: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6 سنوات تبدأ من تاريخ الإدراج</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10.4004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w:t>
            </w:r>
          </w:p>
        </w:tc>
        <w:tc>
          <w:tcPr>
            <w:tcW w:type="dxa" w:w="6860"/>
          </w:tcPr>
          <w:p>
            <w:pPr>
              <w:bidi w:val="1"/>
              <w:spacing w:before="0" w:after="0" w:line="276" w:lineRule="auto"/>
            </w:pPr>
            <w:r>
              <w:rPr>
                <w:rFonts w:ascii="Arial" w:hAnsi="Arial" w:cs="Arial" w:eastAsia="Arial"/>
                <w:b/>
                <w:bCs/>
                <w:color w:val="0E1E3A"/>
                <w:sz w:val="18"/>
                <w:szCs w:val="18"/>
                <w:rtl/>
              </w:rPr>
              <w:t>319,828,288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52,002,117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0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1.5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tl/>
              </w:rPr>
              <w:t>319,828,288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317,687,535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تكاليف/أتعاب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960,166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315,707,145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0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1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الديون المدعومة بالأصول</w:t>
            </w:r>
          </w:p>
        </w:tc>
        <w:tc>
          <w:tcPr>
            <w:tcW w:type="dxa" w:w="6860"/>
          </w:tcPr>
          <w:p>
            <w:pPr>
              <w:bidi w:val="1"/>
              <w:spacing w:before="0" w:after="0" w:line="276" w:lineRule="auto"/>
            </w:pPr>
            <w:r>
              <w:rPr>
                <w:rFonts w:ascii="Arial" w:hAnsi="Arial" w:cs="Arial" w:eastAsia="Arial"/>
                <w:b/>
                <w:bCs/>
                <w:color w:val="0E1E3A"/>
                <w:sz w:val="18"/>
                <w:szCs w:val="18"/>
                <w:rtl/>
              </w:rPr>
              <w:t>59,929,212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89,424,674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المهيكلة</w:t>
            </w:r>
          </w:p>
        </w:tc>
        <w:tc>
          <w:tcPr>
            <w:tcW w:type="dxa" w:w="6860"/>
          </w:tcPr>
          <w:p>
            <w:pPr>
              <w:bidi w:val="1"/>
              <w:spacing w:before="0" w:after="0" w:line="276" w:lineRule="auto"/>
            </w:pPr>
            <w:r>
              <w:rPr>
                <w:rFonts w:ascii="Arial" w:hAnsi="Arial" w:cs="Arial" w:eastAsia="Arial"/>
                <w:b/>
                <w:bCs/>
                <w:color w:val="0E1E3A"/>
                <w:sz w:val="18"/>
                <w:szCs w:val="18"/>
                <w:rtl/>
              </w:rPr>
              <w:t>121,903,461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التأجيري</w:t>
            </w:r>
          </w:p>
        </w:tc>
        <w:tc>
          <w:tcPr>
            <w:tcW w:type="dxa" w:w="6860"/>
          </w:tcPr>
          <w:p>
            <w:pPr>
              <w:bidi w:val="1"/>
              <w:spacing w:before="0" w:after="0" w:line="276" w:lineRule="auto"/>
            </w:pPr>
            <w:r>
              <w:rPr>
                <w:rFonts w:ascii="Arial" w:hAnsi="Arial" w:cs="Arial" w:eastAsia="Arial"/>
                <w:b/>
                <w:bCs/>
                <w:color w:val="0E1E3A"/>
                <w:sz w:val="18"/>
                <w:szCs w:val="18"/>
                <w:rtl/>
              </w:rPr>
              <w:t>40,761,290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7,328,502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481,150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227,564,981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226,037,699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2025م</w:t>
            </w:r>
          </w:p>
        </w:tc>
        <w:tc>
          <w:tcPr>
            <w:tcW w:type="dxa" w:w="6860"/>
          </w:tcPr>
          <w:p>
            <w:pPr>
              <w:bidi w:val="1"/>
              <w:spacing w:before="0" w:after="0" w:line="276" w:lineRule="auto"/>
            </w:pPr>
            <w:r>
              <w:rPr>
                <w:rFonts w:ascii="Arial" w:hAnsi="Arial" w:cs="Arial" w:eastAsia="Arial"/>
                <w:b/>
                <w:bCs/>
                <w:color w:val="0E1E3A"/>
                <w:sz w:val="18"/>
                <w:szCs w:val="18"/>
                <w:rtl/>
              </w:rPr>
              <w:t>233,674,108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2025م</w:t>
            </w:r>
          </w:p>
        </w:tc>
        <w:tc>
          <w:tcPr>
            <w:tcW w:type="dxa" w:w="6860"/>
          </w:tcPr>
          <w:p>
            <w:pPr>
              <w:bidi w:val="1"/>
              <w:spacing w:before="0" w:after="0" w:line="276" w:lineRule="auto"/>
            </w:pPr>
            <w:r>
              <w:rPr>
                <w:rFonts w:ascii="Arial" w:hAnsi="Arial" w:cs="Arial" w:eastAsia="Arial"/>
                <w:b/>
                <w:bCs/>
                <w:color w:val="0E1E3A"/>
                <w:sz w:val="18"/>
                <w:szCs w:val="18"/>
                <w:rtl/>
              </w:rPr>
              <w:t>231,841,370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82378"/>
            <wp:docPr id="14" name="Picture 901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82378"/>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2025م)</w:t>
            </w:r>
          </w:p>
        </w:tc>
        <w:tc>
          <w:tcPr>
            <w:tcW w:type="dxa" w:w="6860"/>
          </w:tcPr>
          <w:p>
            <w:pPr>
              <w:bidi w:val="1"/>
              <w:spacing w:before="0" w:after="0" w:line="276" w:lineRule="auto"/>
            </w:pPr>
            <w:r>
              <w:rPr>
                <w:rFonts w:ascii="Arial" w:hAnsi="Arial" w:cs="Arial" w:eastAsia="Arial"/>
                <w:b/>
                <w:bCs/>
                <w:color w:val="0E1E3A"/>
                <w:sz w:val="18"/>
                <w:szCs w:val="18"/>
                <w:rtl/>
              </w:rPr>
              <w:t>7.59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w:t>
            </w:r>
          </w:p>
        </w:tc>
        <w:tc>
          <w:tcPr>
            <w:tcW w:type="dxa" w:w="6860"/>
          </w:tcPr>
          <w:p>
            <w:pPr>
              <w:bidi w:val="1"/>
              <w:spacing w:before="0" w:after="0" w:line="276" w:lineRule="auto"/>
            </w:pPr>
            <w:r>
              <w:rPr>
                <w:rFonts w:ascii="Arial" w:hAnsi="Arial" w:cs="Arial" w:eastAsia="Arial"/>
                <w:b/>
                <w:bCs/>
                <w:color w:val="0E1E3A"/>
                <w:sz w:val="18"/>
                <w:szCs w:val="18"/>
              </w:rPr>
              <w:t>‎-0.78%‎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2025م)</w:t>
            </w:r>
          </w:p>
        </w:tc>
        <w:tc>
          <w:tcPr>
            <w:tcW w:type="dxa" w:w="6860"/>
          </w:tcPr>
          <w:p>
            <w:pPr>
              <w:bidi w:val="1"/>
              <w:spacing w:before="0" w:after="0" w:line="276" w:lineRule="auto"/>
            </w:pPr>
            <w:r>
              <w:rPr>
                <w:rFonts w:ascii="Arial" w:hAnsi="Arial" w:cs="Arial" w:eastAsia="Arial"/>
                <w:b/>
                <w:bCs/>
                <w:color w:val="0E1E3A"/>
                <w:sz w:val="18"/>
                <w:szCs w:val="18"/>
              </w:rPr>
              <w:t>‎-24.10%‎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يونيو 2025م = 7.59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p>
      <w:pPr>
        <w:pStyle w:val="Heading3"/>
        <w:keepNext/>
        <w:bidi w:val="1"/>
        <w:spacing w:before="160" w:after="100" w:line="300" w:lineRule="auto"/>
      </w:pPr>
      <w:r>
        <w:rPr>
          <w:rFonts w:ascii="Arial" w:hAnsi="Arial" w:cs="Arial" w:eastAsia="Arial"/>
          <w:b/>
          <w:bCs/>
          <w:color w:val="12284B"/>
          <w:sz w:val="22"/>
          <w:szCs w:val="22"/>
          <w:rtl/>
        </w:rPr>
        <w:t>سياسة توزيع الأرباح</w:t>
      </w:r>
    </w:p>
    <w:p>
      <w:pPr>
        <w:bidi w:val="1"/>
        <w:spacing w:before="0" w:after="80" w:line="312" w:lineRule="auto"/>
      </w:pP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 وسيقوم الصندوق بتوزيع الأرباح خلال 40 يوم عمل من تاريخ آخر يوم من كل نصف سنة، وبنهاية كل سنة ميلادية. يجوز لمدير الصندوق توزيع عوائد استثمارات الصندوق بعد خصم المصروفات والمخصصات على مالكي الوحدات أكثر من مرتين في السنة وفق تقديره.</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8,247,321.45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8,349,613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يونيو 2025م)</w:t>
            </w:r>
          </w:p>
        </w:tc>
        <w:tc>
          <w:tcPr>
            <w:tcW w:type="dxa" w:w="6860"/>
          </w:tcPr>
          <w:p>
            <w:pPr>
              <w:bidi w:val="1"/>
              <w:spacing w:before="0" w:after="0" w:line="276" w:lineRule="auto"/>
            </w:pPr>
            <w:r>
              <w:rPr>
                <w:rFonts w:ascii="Arial" w:hAnsi="Arial" w:cs="Arial" w:eastAsia="Arial"/>
                <w:b/>
                <w:bCs/>
                <w:color w:val="0E1E3A"/>
                <w:sz w:val="18"/>
                <w:szCs w:val="18"/>
              </w:rPr>
              <w:t>‎3.60%‎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أبريل 2025م إلى 30 يونيو 2025م.</w:t>
      </w:r>
      <w:r>
        <w:br/>
      </w:r>
      <w:r>
        <w:rPr>
          <w:rFonts w:ascii="Arial" w:hAnsi="Arial" w:cs="Arial" w:eastAsia="Arial"/>
          <w:color w:val="5A6478"/>
          <w:sz w:val="17"/>
          <w:szCs w:val="17"/>
          <w:rtl/>
        </w:rPr>
        <w:t>** عن الفترة من 17 يوليو 2024م الى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فائده التمويل المضمون لليلة واحدة SOFR لثلاثة أشهر. وهو مؤشر متوافق مع ضوابط الشريعة الاسلامية.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 *</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w:t>
            </w:r>
          </w:p>
        </w:tc>
        <w:tc>
          <w:tcPr>
            <w:tcW w:type="dxa" w:w="6860"/>
          </w:tcPr>
          <w:p>
            <w:pPr>
              <w:bidi w:val="1"/>
              <w:spacing w:before="0" w:after="0" w:line="276" w:lineRule="auto"/>
            </w:pPr>
            <w:r>
              <w:rPr>
                <w:rFonts w:ascii="Arial" w:hAnsi="Arial" w:cs="Arial" w:eastAsia="Arial"/>
                <w:b/>
                <w:bCs/>
                <w:color w:val="0E1E3A"/>
                <w:sz w:val="18"/>
                <w:szCs w:val="18"/>
              </w:rPr>
              <w:t>‎-0.78%‎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‎-24.10%‎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‎-21.40%‎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تاريخ الإدراج 17 يوليو 2024م إلى 30 يونيو 2025م.</w:t>
      </w:r>
      <w:r>
        <w:br/>
      </w:r>
      <w:r>
        <w:rPr>
          <w:rFonts w:ascii="Arial" w:hAnsi="Arial" w:cs="Arial" w:eastAsia="Arial"/>
          <w:color w:val="5A6478"/>
          <w:sz w:val="17"/>
          <w:szCs w:val="17"/>
          <w:rtl/>
        </w:rPr>
        <w:t>** متضمنا التوزيعات النقدية من تاريخ الإدراج وحتى نهاية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1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 xml:space="preserve">المؤشر الاسترشادي للصندوق هو مؤشر مركب من معدل </w:t>
      </w:r>
      <w:r>
        <w:rPr>
          <w:rFonts w:ascii="Arial" w:hAnsi="Arial" w:cs="Arial" w:eastAsia="Arial"/>
          <w:color w:val="0E1E3A"/>
          <w:sz w:val="20"/>
          <w:szCs w:val="20"/>
        </w:rPr>
        <w:t>‎70%‎</w:t>
      </w:r>
      <w:r>
        <w:rPr>
          <w:rFonts w:ascii="Arial" w:hAnsi="Arial" w:cs="Arial" w:eastAsia="Arial"/>
          <w:color w:val="0E1E3A"/>
          <w:sz w:val="20"/>
          <w:szCs w:val="20"/>
          <w:rtl/>
        </w:rPr>
        <w:t xml:space="preserve"> من العائد على مؤشر داو جونز للعائد الإجمالي على الصكوك </w:t>
      </w:r>
      <w:r>
        <w:rPr>
          <w:rFonts w:ascii="Arial" w:hAnsi="Arial" w:cs="Arial" w:eastAsia="Arial"/>
          <w:color w:val="0E1E3A"/>
          <w:sz w:val="20"/>
          <w:szCs w:val="20"/>
        </w:rPr>
        <w:t>‎30%‎</w:t>
      </w:r>
      <w:r>
        <w:rPr>
          <w:rFonts w:ascii="Arial" w:hAnsi="Arial" w:cs="Arial" w:eastAsia="Arial"/>
          <w:color w:val="0E1E3A"/>
          <w:sz w:val="20"/>
          <w:szCs w:val="20"/>
          <w:rtl/>
        </w:rPr>
        <w:t>+ مؤشر سعر فائدة التمويل المضمون لليلة واحدة SOFR لثلاثة أشهر. وهو مؤشر متوافق مع ضوابط الشريعة الاسلامية.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المؤشر الاسترشادي</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10.1585</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10.4004</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‎2.38%‎</w:t>
            </w:r>
          </w:p>
        </w:tc>
        <w:tc>
          <w:tcPr>
            <w:tcW w:type="dxa" w:w="3326"/>
          </w:tcPr>
          <w:p>
            <w:pPr>
              <w:bidi w:val="1"/>
              <w:spacing w:before="0" w:after="0" w:line="264" w:lineRule="auto"/>
            </w:pPr>
            <w:r>
              <w:rPr>
                <w:rFonts w:ascii="Arial" w:hAnsi="Arial" w:cs="Arial" w:eastAsia="Arial"/>
                <w:color w:val="0E1E3A"/>
                <w:sz w:val="17"/>
                <w:szCs w:val="17"/>
              </w:rPr>
              <w:t>‎1.19%‎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1 أبريل 2025م.</w:t>
      </w:r>
      <w:r>
        <w:br/>
      </w:r>
      <w:r>
        <w:rPr>
          <w:rFonts w:ascii="Arial" w:hAnsi="Arial" w:cs="Arial" w:eastAsia="Arial"/>
          <w:color w:val="5A6478"/>
          <w:sz w:val="17"/>
          <w:szCs w:val="17"/>
          <w:rtl/>
        </w:rPr>
        <w:t>** كما في تاريخ 30 يونيو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2"/>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 **</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‎2.38%‎</w:t>
            </w:r>
          </w:p>
        </w:tc>
        <w:tc>
          <w:tcPr>
            <w:tcW w:type="dxa" w:w="1663"/>
          </w:tcPr>
          <w:p>
            <w:pPr>
              <w:bidi w:val="1"/>
              <w:spacing w:before="0" w:after="0" w:line="264" w:lineRule="auto"/>
            </w:pPr>
            <w:r>
              <w:rPr>
                <w:rFonts w:ascii="Arial" w:hAnsi="Arial" w:cs="Arial" w:eastAsia="Arial"/>
                <w:color w:val="0E1E3A"/>
                <w:sz w:val="17"/>
                <w:szCs w:val="17"/>
              </w:rPr>
              <w:t>‎3.95%‎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‎1.19%‎</w:t>
            </w:r>
          </w:p>
        </w:tc>
        <w:tc>
          <w:tcPr>
            <w:tcW w:type="dxa" w:w="1663"/>
          </w:tcPr>
          <w:p>
            <w:pPr>
              <w:bidi w:val="1"/>
              <w:spacing w:before="0" w:after="0" w:line="264" w:lineRule="auto"/>
            </w:pPr>
            <w:r>
              <w:rPr>
                <w:rFonts w:ascii="Arial" w:hAnsi="Arial" w:cs="Arial" w:eastAsia="Arial"/>
                <w:color w:val="0E1E3A"/>
                <w:sz w:val="17"/>
                <w:szCs w:val="17"/>
              </w:rPr>
              <w:t>‎2.36%‎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‎1.19%‎</w:t>
            </w:r>
          </w:p>
        </w:tc>
        <w:tc>
          <w:tcPr>
            <w:tcW w:type="dxa" w:w="1663"/>
          </w:tcPr>
          <w:p>
            <w:pPr>
              <w:bidi w:val="1"/>
              <w:spacing w:before="0" w:after="0" w:line="264" w:lineRule="auto"/>
            </w:pPr>
            <w:r>
              <w:rPr>
                <w:rFonts w:ascii="Arial" w:hAnsi="Arial" w:cs="Arial" w:eastAsia="Arial"/>
                <w:color w:val="0E1E3A"/>
                <w:sz w:val="17"/>
                <w:szCs w:val="17"/>
              </w:rPr>
              <w:t>‎1.59%‎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1 يناير 2025م إلى 30 يونيو 2025م متضمنة التوزيعات النقدية بنسبة </w:t>
      </w:r>
      <w:r>
        <w:rPr>
          <w:rFonts w:ascii="Arial" w:hAnsi="Arial" w:cs="Arial" w:eastAsia="Arial"/>
          <w:color w:val="5A6478"/>
          <w:sz w:val="17"/>
          <w:szCs w:val="17"/>
        </w:rPr>
        <w:t>‎2.70.%‎</w:t>
      </w:r>
      <w:r>
        <w:br/>
      </w:r>
      <w:r>
        <w:rPr>
          <w:rFonts w:ascii="Arial" w:hAnsi="Arial" w:cs="Arial" w:eastAsia="Arial"/>
          <w:color w:val="5A6478"/>
          <w:sz w:val="17"/>
          <w:szCs w:val="17"/>
          <w:rtl/>
        </w:rPr>
        <w:t>* *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 **</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5.15</w:t>
            </w:r>
          </w:p>
        </w:tc>
        <w:tc>
          <w:tcPr>
            <w:tcW w:type="dxa" w:w="1663"/>
          </w:tcPr>
          <w:p>
            <w:pPr>
              <w:bidi w:val="1"/>
              <w:spacing w:before="0" w:after="0" w:line="264" w:lineRule="auto"/>
            </w:pPr>
            <w:r>
              <w:rPr>
                <w:rFonts w:ascii="Arial" w:hAnsi="Arial" w:cs="Arial" w:eastAsia="Arial"/>
                <w:color w:val="0E1E3A"/>
                <w:sz w:val="17"/>
                <w:szCs w:val="17"/>
                <w:rtl/>
              </w:rPr>
              <w:t>21.08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-1.14</w:t>
            </w:r>
          </w:p>
        </w:tc>
        <w:tc>
          <w:tcPr>
            <w:tcW w:type="dxa" w:w="1663"/>
          </w:tcPr>
          <w:p>
            <w:pPr>
              <w:bidi w:val="1"/>
              <w:spacing w:before="0" w:after="0" w:line="264" w:lineRule="auto"/>
            </w:pPr>
            <w:r>
              <w:rPr>
                <w:rFonts w:ascii="Arial" w:hAnsi="Arial" w:cs="Arial" w:eastAsia="Arial"/>
                <w:color w:val="0E1E3A"/>
                <w:sz w:val="17"/>
                <w:szCs w:val="17"/>
                <w:rtl/>
              </w:rPr>
              <w:t>- 0.89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p>
        </w:tc>
        <w:tc>
          <w:tcPr>
            <w:tcW w:type="dxa" w:w="1663"/>
          </w:tcPr>
          <w:p>
            <w:pPr>
              <w:bidi w:val="1"/>
              <w:spacing w:before="0" w:after="0" w:line="264" w:lineRule="auto"/>
            </w:pPr>
            <w:r>
              <w:rPr>
                <w:rFonts w:ascii="Arial" w:hAnsi="Arial" w:cs="Arial" w:eastAsia="Arial"/>
                <w:color w:val="0E1E3A"/>
                <w:sz w:val="17"/>
                <w:szCs w:val="17"/>
                <w:rtl/>
              </w:rPr>
              <w:t>5.15</w:t>
            </w:r>
          </w:p>
        </w:tc>
        <w:tc>
          <w:tcPr>
            <w:tcW w:type="dxa" w:w="1663"/>
          </w:tcPr>
          <w:p>
            <w:pPr>
              <w:bidi w:val="1"/>
              <w:spacing w:before="0" w:after="0" w:line="264" w:lineRule="auto"/>
            </w:pPr>
            <w:r>
              <w:rPr>
                <w:rFonts w:ascii="Arial" w:hAnsi="Arial" w:cs="Arial" w:eastAsia="Arial"/>
                <w:color w:val="0E1E3A"/>
                <w:sz w:val="17"/>
                <w:szCs w:val="17"/>
                <w:rtl/>
              </w:rPr>
              <w:t>21.08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p>
        </w:tc>
        <w:tc>
          <w:tcPr>
            <w:tcW w:type="dxa" w:w="1663"/>
          </w:tcPr>
          <w:p>
            <w:pPr>
              <w:bidi w:val="1"/>
              <w:spacing w:before="0" w:after="0" w:line="264" w:lineRule="auto"/>
            </w:pPr>
            <w:r>
              <w:rPr>
                <w:rFonts w:ascii="Arial" w:hAnsi="Arial" w:cs="Arial" w:eastAsia="Arial"/>
                <w:color w:val="0E1E3A"/>
                <w:sz w:val="17"/>
                <w:szCs w:val="17"/>
                <w:rtl/>
              </w:rPr>
              <w:t>- 0.36</w:t>
            </w:r>
          </w:p>
        </w:tc>
        <w:tc>
          <w:tcPr>
            <w:tcW w:type="dxa" w:w="1663"/>
          </w:tcPr>
          <w:p>
            <w:pPr>
              <w:bidi w:val="1"/>
              <w:spacing w:before="0" w:after="0" w:line="264" w:lineRule="auto"/>
            </w:pPr>
            <w:r>
              <w:rPr>
                <w:rFonts w:ascii="Arial" w:hAnsi="Arial" w:cs="Arial" w:eastAsia="Arial"/>
                <w:color w:val="0E1E3A"/>
                <w:sz w:val="17"/>
                <w:szCs w:val="17"/>
                <w:rtl/>
              </w:rPr>
              <w:t>12.80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p>
        </w:tc>
        <w:tc>
          <w:tcPr>
            <w:tcW w:type="dxa" w:w="1663"/>
          </w:tcPr>
          <w:p>
            <w:pPr>
              <w:bidi w:val="1"/>
              <w:spacing w:before="0" w:after="0" w:line="264" w:lineRule="auto"/>
            </w:pPr>
            <w:r>
              <w:rPr>
                <w:rFonts w:ascii="Arial" w:hAnsi="Arial" w:cs="Arial" w:eastAsia="Arial"/>
                <w:color w:val="0E1E3A"/>
                <w:sz w:val="17"/>
                <w:szCs w:val="17"/>
                <w:rtl/>
              </w:rPr>
              <w:t>- 0.94</w:t>
            </w:r>
          </w:p>
        </w:tc>
        <w:tc>
          <w:tcPr>
            <w:tcW w:type="dxa" w:w="1663"/>
          </w:tcPr>
          <w:p>
            <w:pPr>
              <w:bidi w:val="1"/>
              <w:spacing w:before="0" w:after="0" w:line="264" w:lineRule="auto"/>
            </w:pPr>
            <w:r>
              <w:rPr>
                <w:rFonts w:ascii="Arial" w:hAnsi="Arial" w:cs="Arial" w:eastAsia="Arial"/>
                <w:color w:val="0E1E3A"/>
                <w:sz w:val="17"/>
                <w:szCs w:val="17"/>
                <w:rtl/>
              </w:rPr>
              <w:t>-14.90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- 0.18</w:t>
            </w:r>
          </w:p>
        </w:tc>
        <w:tc>
          <w:tcPr>
            <w:tcW w:type="dxa" w:w="1663"/>
          </w:tcPr>
          <w:p>
            <w:pPr>
              <w:bidi w:val="1"/>
              <w:spacing w:before="0" w:after="0" w:line="264" w:lineRule="auto"/>
            </w:pPr>
            <w:r>
              <w:rPr>
                <w:rFonts w:ascii="Arial" w:hAnsi="Arial" w:cs="Arial" w:eastAsia="Arial"/>
                <w:color w:val="0E1E3A"/>
                <w:sz w:val="17"/>
                <w:szCs w:val="17"/>
                <w:rtl/>
              </w:rPr>
              <w:t>- 0.71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يناير 2025م إلى 30 يونيو 2025م.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4"/>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5" name="Picture 9026"/>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27"/>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28"/>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الثاني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