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2"/>
            <wp:cNvGraphicFramePr/>
            <a:graphic>
              <a:graphicData uri="http://schemas.openxmlformats.org/drawingml/2006/picture">
                <pic:pic>
                  <pic:nvPicPr>
                    <pic:cNvPr id="9002" name="banner900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2030 (“the Fund”) is a public closed-ended Shari’a-compliant investment traded fund established in accordance with the Investment Funds Regulations and the applicable laws and regulations of the Kingdom of Saudi Arabia and regulated by the Capital Market Authority (CMA). The Fund’s investment objective is to generate periodic income to investors by investing in income generating assets using a Shari’a-compliant investment structure. The Fund Manager “Alkhabeer Capital” plans to invest in Sukuk, trade finance transactions, leasing transactions, structured income instruments, asset backed debts,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4702</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AKDI2030:AB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6 years, starting as from the Listing Date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10.4004</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319,828,288</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FUND MANAGER’S INVESTMENT VALUE AT THE END OF THE REPORTING QUARTER</w:t>
            </w:r>
          </w:p>
        </w:tc>
        <w:tc>
          <w:tcPr>
            <w:tcW w:type="dxa" w:w="6860"/>
          </w:tcPr>
          <w:p>
            <w:pPr>
              <w:spacing w:before="0" w:after="0" w:line="276" w:lineRule="auto"/>
            </w:pPr>
            <w:r>
              <w:rPr>
                <w:rFonts w:ascii="Arial" w:hAnsi="Arial" w:cs="Arial" w:eastAsia="Arial"/>
                <w:b/>
                <w:bCs/>
                <w:color w:val="0E1E3A"/>
                <w:sz w:val="18"/>
                <w:szCs w:val="18"/>
              </w:rPr>
              <w:t>SAR 52,002,117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0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average term of Fund investments is 1.5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Semi-annually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319,828,288</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317,687,535</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COSTS/FEES TO FUND’S AVERAGE NET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960,166</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2025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315,707,145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0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0108"/>
            <wp:docPr id="10" name="Picture 901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ASSET BACKED DEBTS PORTFOLIO TOTAL VALUE</w:t>
            </w:r>
          </w:p>
        </w:tc>
        <w:tc>
          <w:tcPr>
            <w:tcW w:type="dxa" w:w="6860"/>
          </w:tcPr>
          <w:p>
            <w:pPr>
              <w:spacing w:before="0" w:after="0" w:line="276" w:lineRule="auto"/>
            </w:pPr>
            <w:r>
              <w:rPr>
                <w:rFonts w:ascii="Arial" w:hAnsi="Arial" w:cs="Arial" w:eastAsia="Arial"/>
                <w:b/>
                <w:bCs/>
                <w:color w:val="0E1E3A"/>
                <w:sz w:val="18"/>
                <w:szCs w:val="18"/>
              </w:rPr>
              <w:t>SAR 59,929,212</w:t>
            </w:r>
          </w:p>
        </w:tc>
      </w:tr>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89,424,674</w:t>
            </w:r>
          </w:p>
        </w:tc>
      </w:tr>
      <w:tr>
        <w:tc>
          <w:tcPr>
            <w:tcW w:type="dxa" w:w="3118"/>
            <w:shd w:val="clear" w:color="auto" w:fill="F3F6FB"/>
          </w:tcPr>
          <w:p>
            <w:pPr>
              <w:spacing w:before="0" w:after="0" w:line="276" w:lineRule="auto"/>
            </w:pPr>
            <w:r>
              <w:rPr>
                <w:rFonts w:ascii="Arial" w:hAnsi="Arial" w:cs="Arial" w:eastAsia="Arial"/>
                <w:color w:val="5A6478"/>
                <w:sz w:val="18"/>
                <w:szCs w:val="18"/>
              </w:rPr>
              <w:t>STRUCTURED INCOME PORTFOLIO TOTAL VALUE</w:t>
            </w:r>
          </w:p>
        </w:tc>
        <w:tc>
          <w:tcPr>
            <w:tcW w:type="dxa" w:w="6860"/>
          </w:tcPr>
          <w:p>
            <w:pPr>
              <w:spacing w:before="0" w:after="0" w:line="276" w:lineRule="auto"/>
            </w:pPr>
            <w:r>
              <w:rPr>
                <w:rFonts w:ascii="Arial" w:hAnsi="Arial" w:cs="Arial" w:eastAsia="Arial"/>
                <w:b/>
                <w:bCs/>
                <w:color w:val="0E1E3A"/>
                <w:sz w:val="18"/>
                <w:szCs w:val="18"/>
              </w:rPr>
              <w:t>SAR 121,903,461</w:t>
            </w:r>
          </w:p>
        </w:tc>
      </w:tr>
      <w:tr>
        <w:tc>
          <w:tcPr>
            <w:tcW w:type="dxa" w:w="3118"/>
            <w:shd w:val="clear" w:color="auto" w:fill="F3F6FB"/>
          </w:tcPr>
          <w:p>
            <w:pPr>
              <w:spacing w:before="0" w:after="0" w:line="276" w:lineRule="auto"/>
            </w:pPr>
            <w:r>
              <w:rPr>
                <w:rFonts w:ascii="Arial" w:hAnsi="Arial" w:cs="Arial" w:eastAsia="Arial"/>
                <w:color w:val="5A6478"/>
                <w:sz w:val="18"/>
                <w:szCs w:val="18"/>
              </w:rPr>
              <w:t>LEASING INCOME PORTFOLIO TOTAL VALUE</w:t>
            </w:r>
          </w:p>
        </w:tc>
        <w:tc>
          <w:tcPr>
            <w:tcW w:type="dxa" w:w="6860"/>
          </w:tcPr>
          <w:p>
            <w:pPr>
              <w:spacing w:before="0" w:after="0" w:line="276" w:lineRule="auto"/>
            </w:pPr>
            <w:r>
              <w:rPr>
                <w:rFonts w:ascii="Arial" w:hAnsi="Arial" w:cs="Arial" w:eastAsia="Arial"/>
                <w:b/>
                <w:bCs/>
                <w:color w:val="0E1E3A"/>
                <w:sz w:val="18"/>
                <w:szCs w:val="18"/>
              </w:rPr>
              <w:t>SAR 40,761,290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7,328,502</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481,150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227,564,981</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226,037,699</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2025</w:t>
            </w:r>
          </w:p>
        </w:tc>
        <w:tc>
          <w:tcPr>
            <w:tcW w:type="dxa" w:w="6860"/>
          </w:tcPr>
          <w:p>
            <w:pPr>
              <w:spacing w:before="0" w:after="0" w:line="276" w:lineRule="auto"/>
            </w:pPr>
            <w:r>
              <w:rPr>
                <w:rFonts w:ascii="Arial" w:hAnsi="Arial" w:cs="Arial" w:eastAsia="Arial"/>
                <w:b/>
                <w:bCs/>
                <w:color w:val="0E1E3A"/>
                <w:sz w:val="18"/>
                <w:szCs w:val="18"/>
              </w:rPr>
              <w:t>SAR 233,674,108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2025</w:t>
            </w:r>
          </w:p>
        </w:tc>
        <w:tc>
          <w:tcPr>
            <w:tcW w:type="dxa" w:w="6860"/>
          </w:tcPr>
          <w:p>
            <w:pPr>
              <w:spacing w:before="0" w:after="0" w:line="276" w:lineRule="auto"/>
            </w:pPr>
            <w:r>
              <w:rPr>
                <w:rFonts w:ascii="Arial" w:hAnsi="Arial" w:cs="Arial" w:eastAsia="Arial"/>
                <w:b/>
                <w:bCs/>
                <w:color w:val="0E1E3A"/>
                <w:sz w:val="18"/>
                <w:szCs w:val="18"/>
              </w:rPr>
              <w:t>SAR 231,841,370</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4" name="Picture 9015"/>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2025)</w:t>
            </w:r>
          </w:p>
        </w:tc>
        <w:tc>
          <w:tcPr>
            <w:tcW w:type="dxa" w:w="6860"/>
          </w:tcPr>
          <w:p>
            <w:pPr>
              <w:spacing w:before="0" w:after="0" w:line="276" w:lineRule="auto"/>
            </w:pPr>
            <w:r>
              <w:rPr>
                <w:rFonts w:ascii="Arial" w:hAnsi="Arial" w:cs="Arial" w:eastAsia="Arial"/>
                <w:b/>
                <w:bCs/>
                <w:color w:val="0E1E3A"/>
                <w:sz w:val="18"/>
                <w:szCs w:val="18"/>
              </w:rPr>
              <w:t>SAR 7.59</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w:t>
            </w:r>
          </w:p>
        </w:tc>
        <w:tc>
          <w:tcPr>
            <w:tcW w:type="dxa" w:w="6860"/>
          </w:tcPr>
          <w:p>
            <w:pPr>
              <w:spacing w:before="0" w:after="0" w:line="276" w:lineRule="auto"/>
            </w:pPr>
            <w:r>
              <w:rPr>
                <w:rFonts w:ascii="Arial" w:hAnsi="Arial" w:cs="Arial" w:eastAsia="Arial"/>
                <w:b/>
                <w:bCs/>
                <w:color w:val="0E1E3A"/>
                <w:sz w:val="18"/>
                <w:szCs w:val="18"/>
              </w:rPr>
              <w:t>-0.78%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2025)</w:t>
            </w:r>
          </w:p>
        </w:tc>
        <w:tc>
          <w:tcPr>
            <w:tcW w:type="dxa" w:w="6860"/>
          </w:tcPr>
          <w:p>
            <w:pPr>
              <w:spacing w:before="0" w:after="0" w:line="276" w:lineRule="auto"/>
            </w:pPr>
            <w:r>
              <w:rPr>
                <w:rFonts w:ascii="Arial" w:hAnsi="Arial" w:cs="Arial" w:eastAsia="Arial"/>
                <w:b/>
                <w:bCs/>
                <w:color w:val="0E1E3A"/>
                <w:sz w:val="18"/>
                <w:szCs w:val="18"/>
              </w:rPr>
              <w:t>-24.10%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10.00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INSTRUMENTS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*Unit Price as of 30 June 2025 = SAR 7.59.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p>
      <w:pPr>
        <w:pStyle w:val="Heading3"/>
        <w:keepNext/>
        <w:spacing w:before="160" w:after="100" w:line="300" w:lineRule="auto"/>
      </w:pPr>
      <w:r>
        <w:rPr>
          <w:rFonts w:ascii="Arial" w:hAnsi="Arial" w:cs="Arial" w:eastAsia="Arial"/>
          <w:b/>
          <w:bCs/>
          <w:color w:val="12284B"/>
          <w:sz w:val="22"/>
          <w:szCs w:val="22"/>
        </w:rPr>
        <w:t>DIVIDEND DISTRIBUTION POLICY</w:t>
      </w:r>
    </w:p>
    <w:p>
      <w:pPr>
        <w:spacing w:before="0" w:after="80" w:line="312" w:lineRule="auto"/>
      </w:pP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 The Fund will distribute dividends within (40) business days after the last day of each semi-annual period and at the end of each Gregorian year. The Fund Manager may distribute the returns on the Fund’s investments, after deducting expenses and provisions, to Unitholders more than twice per year at the Fund Manager’s discretion.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8,247,321.45</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8,349,613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JUNE 2025)</w:t>
            </w:r>
          </w:p>
        </w:tc>
        <w:tc>
          <w:tcPr>
            <w:tcW w:type="dxa" w:w="6860"/>
          </w:tcPr>
          <w:p>
            <w:pPr>
              <w:spacing w:before="0" w:after="0" w:line="276" w:lineRule="auto"/>
            </w:pPr>
            <w:r>
              <w:rPr>
                <w:rFonts w:ascii="Arial" w:hAnsi="Arial" w:cs="Arial" w:eastAsia="Arial"/>
                <w:b/>
                <w:bCs/>
                <w:color w:val="0E1E3A"/>
                <w:sz w:val="18"/>
                <w:szCs w:val="18"/>
              </w:rPr>
              <w:t>3.60%</w:t>
            </w:r>
          </w:p>
        </w:tc>
      </w:tr>
    </w:tbl>
    <w:p>
      <w:pPr>
        <w:spacing w:before="0" w:after="40" w:line="300" w:lineRule="auto"/>
      </w:pPr>
    </w:p>
    <w:p>
      <w:pPr>
        <w:spacing w:before="0" w:after="80" w:line="312" w:lineRule="auto"/>
      </w:pPr>
      <w:r>
        <w:rPr>
          <w:rFonts w:ascii="Arial" w:hAnsi="Arial" w:cs="Arial" w:eastAsia="Arial"/>
          <w:color w:val="5A6478"/>
          <w:sz w:val="17"/>
          <w:szCs w:val="17"/>
        </w:rPr>
        <w:t>* From 1 April 2025 to 30 June 2025.</w:t>
      </w:r>
      <w:r>
        <w:br/>
      </w:r>
      <w:r>
        <w:rPr>
          <w:rFonts w:ascii="Arial" w:hAnsi="Arial" w:cs="Arial" w:eastAsia="Arial"/>
          <w:color w:val="5A6478"/>
          <w:sz w:val="17"/>
          <w:szCs w:val="17"/>
        </w:rPr>
        <w:t>** For the period from 17 July 2024 to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1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-0.78%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-24.10%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-21.40%</w:t>
            </w:r>
          </w:p>
        </w:tc>
      </w:tr>
    </w:tbl>
    <w:p>
      <w:pPr>
        <w:spacing w:before="0" w:after="40" w:line="300" w:lineRule="auto"/>
      </w:pPr>
    </w:p>
    <w:p>
      <w:pPr>
        <w:spacing w:before="0" w:after="80" w:line="312" w:lineRule="auto"/>
      </w:pPr>
      <w:r>
        <w:rPr>
          <w:rFonts w:ascii="Arial" w:hAnsi="Arial" w:cs="Arial" w:eastAsia="Arial"/>
          <w:color w:val="5A6478"/>
          <w:sz w:val="17"/>
          <w:szCs w:val="17"/>
        </w:rPr>
        <w:t>* From the listing date of 17 July 2024 to 30 June 2025.</w:t>
      </w:r>
      <w:r>
        <w:br/>
      </w:r>
      <w:r>
        <w:rPr>
          <w:rFonts w:ascii="Arial" w:hAnsi="Arial" w:cs="Arial" w:eastAsia="Arial"/>
          <w:color w:val="5A6478"/>
          <w:sz w:val="17"/>
          <w:szCs w:val="17"/>
        </w:rPr>
        <w:t>** Including cash dividend distributions from the listing date up to the end of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1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a composite index comprised of 70% of the Dow Jones Sukuk Investment Grade Total Return + 30% of the Secured Overnight Financing Rate for three months (SOFR 3M), which is a Shari’a compliant benchmark.</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BENCHMARK</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10.1585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10.4004</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2.38%</w:t>
            </w:r>
          </w:p>
        </w:tc>
        <w:tc>
          <w:tcPr>
            <w:tcW w:type="dxa" w:w="3326"/>
          </w:tcPr>
          <w:p>
            <w:pPr>
              <w:spacing w:before="0" w:after="0" w:line="264" w:lineRule="auto"/>
            </w:pPr>
            <w:r>
              <w:rPr>
                <w:rFonts w:ascii="Arial" w:hAnsi="Arial" w:cs="Arial" w:eastAsia="Arial"/>
                <w:color w:val="0E1E3A"/>
                <w:sz w:val="17"/>
                <w:szCs w:val="17"/>
              </w:rPr>
              <w:t>1.19%</w:t>
            </w:r>
          </w:p>
        </w:tc>
      </w:tr>
    </w:tbl>
    <w:p>
      <w:pPr>
        <w:spacing w:before="0" w:after="40" w:line="300" w:lineRule="auto"/>
      </w:pPr>
    </w:p>
    <w:p>
      <w:pPr>
        <w:spacing w:before="0" w:after="80" w:line="312" w:lineRule="auto"/>
      </w:pPr>
      <w:r>
        <w:rPr>
          <w:rFonts w:ascii="Arial" w:hAnsi="Arial" w:cs="Arial" w:eastAsia="Arial"/>
          <w:color w:val="5A6478"/>
          <w:sz w:val="17"/>
          <w:szCs w:val="17"/>
        </w:rPr>
        <w:t>* As of 1 April 2025.</w:t>
      </w:r>
      <w:r>
        <w:br/>
      </w:r>
      <w:r>
        <w:rPr>
          <w:rFonts w:ascii="Arial" w:hAnsi="Arial" w:cs="Arial" w:eastAsia="Arial"/>
          <w:color w:val="5A6478"/>
          <w:sz w:val="17"/>
          <w:szCs w:val="17"/>
        </w:rPr>
        <w:t>** As of 30 June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2.38%</w:t>
            </w:r>
          </w:p>
        </w:tc>
        <w:tc>
          <w:tcPr>
            <w:tcW w:type="dxa" w:w="1663"/>
          </w:tcPr>
          <w:p>
            <w:pPr>
              <w:spacing w:before="0" w:after="0" w:line="264" w:lineRule="auto"/>
            </w:pPr>
            <w:r>
              <w:rPr>
                <w:rFonts w:ascii="Arial" w:hAnsi="Arial" w:cs="Arial" w:eastAsia="Arial"/>
                <w:color w:val="0E1E3A"/>
                <w:sz w:val="17"/>
                <w:szCs w:val="17"/>
              </w:rPr>
              <w:t>3.95%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1.19%</w:t>
            </w:r>
          </w:p>
        </w:tc>
        <w:tc>
          <w:tcPr>
            <w:tcW w:type="dxa" w:w="1663"/>
          </w:tcPr>
          <w:p>
            <w:pPr>
              <w:spacing w:before="0" w:after="0" w:line="264" w:lineRule="auto"/>
            </w:pPr>
            <w:r>
              <w:rPr>
                <w:rFonts w:ascii="Arial" w:hAnsi="Arial" w:cs="Arial" w:eastAsia="Arial"/>
                <w:color w:val="0E1E3A"/>
                <w:sz w:val="17"/>
                <w:szCs w:val="17"/>
              </w:rPr>
              <w:t>2.36%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1.19%</w:t>
            </w:r>
          </w:p>
        </w:tc>
        <w:tc>
          <w:tcPr>
            <w:tcW w:type="dxa" w:w="1663"/>
          </w:tcPr>
          <w:p>
            <w:pPr>
              <w:spacing w:before="0" w:after="0" w:line="264" w:lineRule="auto"/>
            </w:pPr>
            <w:r>
              <w:rPr>
                <w:rFonts w:ascii="Arial" w:hAnsi="Arial" w:cs="Arial" w:eastAsia="Arial"/>
                <w:color w:val="0E1E3A"/>
                <w:sz w:val="17"/>
                <w:szCs w:val="17"/>
              </w:rPr>
              <w:t>1.59%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30 June 2025, including 2.70% cash distributions.</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5.15</w:t>
            </w:r>
          </w:p>
        </w:tc>
        <w:tc>
          <w:tcPr>
            <w:tcW w:type="dxa" w:w="1663"/>
          </w:tcPr>
          <w:p>
            <w:pPr>
              <w:spacing w:before="0" w:after="0" w:line="264" w:lineRule="auto"/>
            </w:pPr>
            <w:r>
              <w:rPr>
                <w:rFonts w:ascii="Arial" w:hAnsi="Arial" w:cs="Arial" w:eastAsia="Arial"/>
                <w:color w:val="0E1E3A"/>
                <w:sz w:val="17"/>
                <w:szCs w:val="17"/>
              </w:rPr>
              <w:t>21.08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-1.14</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5.15</w:t>
            </w:r>
          </w:p>
        </w:tc>
        <w:tc>
          <w:tcPr>
            <w:tcW w:type="dxa" w:w="1663"/>
          </w:tcPr>
          <w:p>
            <w:pPr>
              <w:spacing w:before="0" w:after="0" w:line="264" w:lineRule="auto"/>
            </w:pPr>
            <w:r>
              <w:rPr>
                <w:rFonts w:ascii="Arial" w:hAnsi="Arial" w:cs="Arial" w:eastAsia="Arial"/>
                <w:color w:val="0E1E3A"/>
                <w:sz w:val="17"/>
                <w:szCs w:val="17"/>
              </w:rPr>
              <w:t>21.08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-0.36</w:t>
            </w:r>
          </w:p>
        </w:tc>
        <w:tc>
          <w:tcPr>
            <w:tcW w:type="dxa" w:w="1663"/>
          </w:tcPr>
          <w:p>
            <w:pPr>
              <w:spacing w:before="0" w:after="0" w:line="264" w:lineRule="auto"/>
            </w:pPr>
            <w:r>
              <w:rPr>
                <w:rFonts w:ascii="Arial" w:hAnsi="Arial" w:cs="Arial" w:eastAsia="Arial"/>
                <w:color w:val="0E1E3A"/>
                <w:sz w:val="17"/>
                <w:szCs w:val="17"/>
              </w:rPr>
              <w:t>12.80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-0.94</w:t>
            </w:r>
          </w:p>
        </w:tc>
        <w:tc>
          <w:tcPr>
            <w:tcW w:type="dxa" w:w="1663"/>
          </w:tcPr>
          <w:p>
            <w:pPr>
              <w:spacing w:before="0" w:after="0" w:line="264" w:lineRule="auto"/>
            </w:pPr>
            <w:r>
              <w:rPr>
                <w:rFonts w:ascii="Arial" w:hAnsi="Arial" w:cs="Arial" w:eastAsia="Arial"/>
                <w:color w:val="0E1E3A"/>
                <w:sz w:val="17"/>
                <w:szCs w:val="17"/>
              </w:rPr>
              <w:t>-14.90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-0.18</w:t>
            </w:r>
          </w:p>
        </w:tc>
        <w:tc>
          <w:tcPr>
            <w:tcW w:type="dxa" w:w="1663"/>
          </w:tcPr>
          <w:p>
            <w:pPr>
              <w:spacing w:before="0" w:after="0" w:line="264" w:lineRule="auto"/>
            </w:pPr>
            <w:r>
              <w:rPr>
                <w:rFonts w:ascii="Arial" w:hAnsi="Arial" w:cs="Arial" w:eastAsia="Arial"/>
                <w:color w:val="0E1E3A"/>
                <w:sz w:val="17"/>
                <w:szCs w:val="17"/>
              </w:rPr>
              <w:t>-0.71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30 June 2025.</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5"/>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5" name="Picture 9026"/>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27"/>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28"/>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Fund’s 2030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Q2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