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01"/>
            <wp:cNvGraphicFramePr/>
            <a:graphic>
              <a:graphicData uri="http://schemas.openxmlformats.org/drawingml/2006/picture">
                <pic:pic>
                  <pic:nvPicPr>
                    <pic:cNvPr id="9001" name="banner9001.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 name="Picture 9002"/>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نبذة عامة عن الصندوق</w:t>
      </w:r>
    </w:p>
    <w:p>
      <w:pPr>
        <w:bidi w:val="1"/>
        <w:spacing w:before="0" w:after="80" w:line="312" w:lineRule="auto"/>
      </w:pPr>
      <w:r>
        <w:rPr>
          <w:rFonts w:ascii="Arial" w:hAnsi="Arial" w:cs="Arial" w:eastAsia="Arial"/>
          <w:color w:val="0E1E3A"/>
          <w:sz w:val="20"/>
          <w:szCs w:val="20"/>
          <w:rtl/>
        </w:rPr>
        <w:t>صندوق "الخبير للدخل المتنوع 2030 المتداول"، هو صندوق استثمار عام متداول مغلق متوافق مع ضوابط لجنة الرقابة الشرعية، تم إنشاؤه بموجب لائحة صناديق الاستثمار والأنظمة واللوائح المعمول بها في المملكة، ويخضع لرقابة وإشراف هيئة السوق المالية. ويتمثل الهدف الاستثماري للصندوق في تحقيق دخل دوري للمستثمرين من خلال الاستثمار في أصول مدرّة للدخل؛ من خلال هيكل استثماري متوافق مع ضوابط لجنة الرقابة الشرعية. وينوي مدير الصندوق "الخبير المالية" الاستثمار في الصكوك، وصفقات عقود التمويل التجاري، وصفقات الإجارة، وأدوات الدخل المهيكلة، والديون المدعومة بالأصول، وصناديق الدخل، وصفقات المرابحة، إما بشكل مباشر، أو من خلال صناديق استثمار.</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 name="Picture 900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البيانات الأساسية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التداول</w:t>
            </w:r>
          </w:p>
        </w:tc>
        <w:tc>
          <w:tcPr>
            <w:tcW w:type="dxa" w:w="6860"/>
          </w:tcPr>
          <w:p>
            <w:pPr>
              <w:bidi w:val="1"/>
              <w:spacing w:before="0" w:after="0" w:line="276" w:lineRule="auto"/>
            </w:pPr>
            <w:r>
              <w:rPr>
                <w:rFonts w:ascii="Arial" w:hAnsi="Arial" w:cs="Arial" w:eastAsia="Arial"/>
                <w:b/>
                <w:bCs/>
                <w:color w:val="0E1E3A"/>
                <w:sz w:val="18"/>
                <w:szCs w:val="18"/>
                <w:rtl/>
              </w:rPr>
              <w:t>4702</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بلومبرغ</w:t>
            </w:r>
          </w:p>
        </w:tc>
        <w:tc>
          <w:tcPr>
            <w:tcW w:type="dxa" w:w="6860"/>
          </w:tcPr>
          <w:p>
            <w:pPr>
              <w:bidi w:val="1"/>
              <w:spacing w:before="0" w:after="0" w:line="276" w:lineRule="auto"/>
            </w:pPr>
            <w:r>
              <w:rPr>
                <w:rFonts w:ascii="Arial" w:hAnsi="Arial" w:cs="Arial" w:eastAsia="Arial"/>
                <w:b/>
                <w:bCs/>
                <w:color w:val="0E1E3A"/>
                <w:sz w:val="18"/>
                <w:szCs w:val="18"/>
                <w:rtl/>
              </w:rPr>
              <w:t>AKDI2030:AB</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نوع الصندوق</w:t>
            </w:r>
          </w:p>
        </w:tc>
        <w:tc>
          <w:tcPr>
            <w:tcW w:type="dxa" w:w="6860"/>
          </w:tcPr>
          <w:p>
            <w:pPr>
              <w:bidi w:val="1"/>
              <w:spacing w:before="0" w:after="0" w:line="276" w:lineRule="auto"/>
            </w:pPr>
            <w:r>
              <w:rPr>
                <w:rFonts w:ascii="Arial" w:hAnsi="Arial" w:cs="Arial" w:eastAsia="Arial"/>
                <w:b/>
                <w:bCs/>
                <w:color w:val="0E1E3A"/>
                <w:sz w:val="18"/>
                <w:szCs w:val="18"/>
                <w:rtl/>
              </w:rPr>
              <w:t>صندوق استثمار عام متداول مغلق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تاريخ الإدراج</w:t>
            </w:r>
          </w:p>
        </w:tc>
        <w:tc>
          <w:tcPr>
            <w:tcW w:type="dxa" w:w="6860"/>
          </w:tcPr>
          <w:p>
            <w:pPr>
              <w:bidi w:val="1"/>
              <w:spacing w:before="0" w:after="0" w:line="276" w:lineRule="auto"/>
            </w:pPr>
            <w:r>
              <w:rPr>
                <w:rFonts w:ascii="Arial" w:hAnsi="Arial" w:cs="Arial" w:eastAsia="Arial"/>
                <w:b/>
                <w:bCs/>
                <w:color w:val="0E1E3A"/>
                <w:sz w:val="18"/>
                <w:szCs w:val="18"/>
                <w:rtl/>
              </w:rPr>
              <w:t>17 يوليو 2024م</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مدة الصندوق</w:t>
            </w:r>
          </w:p>
        </w:tc>
        <w:tc>
          <w:tcPr>
            <w:tcW w:type="dxa" w:w="6860"/>
          </w:tcPr>
          <w:p>
            <w:pPr>
              <w:bidi w:val="1"/>
              <w:spacing w:before="0" w:after="0" w:line="276" w:lineRule="auto"/>
            </w:pPr>
            <w:r>
              <w:rPr>
                <w:rFonts w:ascii="Arial" w:hAnsi="Arial" w:cs="Arial" w:eastAsia="Arial"/>
                <w:b/>
                <w:bCs/>
                <w:color w:val="0E1E3A"/>
                <w:sz w:val="18"/>
                <w:szCs w:val="18"/>
                <w:rtl/>
              </w:rPr>
              <w:t>ست سنوات تبدأ من تاريخ الإدراج</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الوحدة</w:t>
            </w:r>
          </w:p>
        </w:tc>
        <w:tc>
          <w:tcPr>
            <w:tcW w:type="dxa" w:w="6860"/>
          </w:tcPr>
          <w:p>
            <w:pPr>
              <w:bidi w:val="1"/>
              <w:spacing w:before="0" w:after="0" w:line="276" w:lineRule="auto"/>
            </w:pPr>
            <w:r>
              <w:rPr>
                <w:rFonts w:ascii="Arial" w:hAnsi="Arial" w:cs="Arial" w:eastAsia="Arial"/>
                <w:b/>
                <w:bCs/>
                <w:color w:val="0E1E3A"/>
                <w:sz w:val="18"/>
                <w:szCs w:val="18"/>
                <w:rtl/>
              </w:rPr>
              <w:t>10.0857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أصول الصندوق*</w:t>
            </w:r>
          </w:p>
        </w:tc>
        <w:tc>
          <w:tcPr>
            <w:tcW w:type="dxa" w:w="6860"/>
          </w:tcPr>
          <w:p>
            <w:pPr>
              <w:bidi w:val="1"/>
              <w:spacing w:before="0" w:after="0" w:line="276" w:lineRule="auto"/>
            </w:pPr>
            <w:r>
              <w:rPr>
                <w:rFonts w:ascii="Arial" w:hAnsi="Arial" w:cs="Arial" w:eastAsia="Arial"/>
                <w:b/>
                <w:bCs/>
                <w:color w:val="0E1E3A"/>
                <w:sz w:val="18"/>
                <w:szCs w:val="18"/>
                <w:rtl/>
              </w:rPr>
              <w:t>308,970,652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رأس مال الصندوق كما في تاريخ الإدراج</w:t>
            </w:r>
          </w:p>
        </w:tc>
        <w:tc>
          <w:tcPr>
            <w:tcW w:type="dxa" w:w="6860"/>
          </w:tcPr>
          <w:p>
            <w:pPr>
              <w:bidi w:val="1"/>
              <w:spacing w:before="0" w:after="0" w:line="276" w:lineRule="auto"/>
            </w:pPr>
            <w:r>
              <w:rPr>
                <w:rFonts w:ascii="Arial" w:hAnsi="Arial" w:cs="Arial" w:eastAsia="Arial"/>
                <w:b/>
                <w:bCs/>
                <w:color w:val="0E1E3A"/>
                <w:sz w:val="18"/>
                <w:szCs w:val="18"/>
                <w:rtl/>
              </w:rPr>
              <w:t>305,456,350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مبلغ التمويل*</w:t>
            </w:r>
          </w:p>
        </w:tc>
        <w:tc>
          <w:tcPr>
            <w:tcW w:type="dxa" w:w="6860"/>
          </w:tcPr>
          <w:p>
            <w:pPr>
              <w:bidi w:val="1"/>
              <w:spacing w:before="0" w:after="0" w:line="276" w:lineRule="auto"/>
            </w:pPr>
            <w:r>
              <w:rPr>
                <w:rFonts w:ascii="Arial" w:hAnsi="Arial" w:cs="Arial" w:eastAsia="Arial"/>
                <w:b/>
                <w:bCs/>
                <w:color w:val="0E1E3A"/>
                <w:sz w:val="18"/>
                <w:szCs w:val="18"/>
                <w:rtl/>
              </w:rPr>
              <w:t>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القيمة الإجمالية لأصول الصندوق*</w:t>
            </w:r>
          </w:p>
        </w:tc>
        <w:tc>
          <w:tcPr>
            <w:tcW w:type="dxa" w:w="6860"/>
          </w:tcPr>
          <w:p>
            <w:pPr>
              <w:bidi w:val="1"/>
              <w:spacing w:before="0" w:after="0" w:line="276" w:lineRule="auto"/>
            </w:pPr>
            <w:r>
              <w:rPr>
                <w:rFonts w:ascii="Arial" w:hAnsi="Arial" w:cs="Arial" w:eastAsia="Arial"/>
                <w:b/>
                <w:bCs/>
                <w:color w:val="0E1E3A"/>
                <w:sz w:val="18"/>
                <w:szCs w:val="18"/>
              </w:rPr>
              <w:t>‎0%‎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قيمة صافي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استثمار مدير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tl/>
              </w:rPr>
              <w:t>50,428,718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‎16.37%‎</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مستوى المخاطر</w:t>
            </w:r>
          </w:p>
        </w:tc>
        <w:tc>
          <w:tcPr>
            <w:tcW w:type="dxa" w:w="6860"/>
          </w:tcPr>
          <w:p>
            <w:pPr>
              <w:bidi w:val="1"/>
              <w:spacing w:before="0" w:after="0" w:line="276" w:lineRule="auto"/>
            </w:pPr>
            <w:r>
              <w:rPr>
                <w:rFonts w:ascii="Arial" w:hAnsi="Arial" w:cs="Arial" w:eastAsia="Arial"/>
                <w:b/>
                <w:bCs/>
                <w:color w:val="0E1E3A"/>
                <w:sz w:val="18"/>
                <w:szCs w:val="18"/>
                <w:rtl/>
              </w:rPr>
              <w:t>مرتفع</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عملة الصندوق</w:t>
            </w:r>
          </w:p>
        </w:tc>
        <w:tc>
          <w:tcPr>
            <w:tcW w:type="dxa" w:w="6860"/>
          </w:tcPr>
          <w:p>
            <w:pPr>
              <w:bidi w:val="1"/>
              <w:spacing w:before="0" w:after="0" w:line="276" w:lineRule="auto"/>
            </w:pPr>
            <w:r>
              <w:rPr>
                <w:rFonts w:ascii="Arial" w:hAnsi="Arial" w:cs="Arial" w:eastAsia="Arial"/>
                <w:b/>
                <w:bCs/>
                <w:color w:val="0E1E3A"/>
                <w:sz w:val="18"/>
                <w:szCs w:val="18"/>
                <w:rtl/>
              </w:rPr>
              <w:t>ريال سعودي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مستشار الاستثمار ومدير الصندوق من الباطن</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رسوم الإدارة للصناديق المستثمر فيها</w:t>
            </w:r>
          </w:p>
        </w:tc>
        <w:tc>
          <w:tcPr>
            <w:tcW w:type="dxa" w:w="6860"/>
          </w:tcPr>
          <w:p>
            <w:pPr>
              <w:bidi w:val="1"/>
              <w:spacing w:before="0" w:after="0" w:line="276" w:lineRule="auto"/>
            </w:pPr>
            <w:r>
              <w:rPr>
                <w:rFonts w:ascii="Arial" w:hAnsi="Arial" w:cs="Arial" w:eastAsia="Arial"/>
                <w:b/>
                <w:bCs/>
                <w:color w:val="0E1E3A"/>
                <w:sz w:val="18"/>
                <w:szCs w:val="18"/>
              </w:rPr>
              <w:t>‎0%‎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أيام المتوسط المرجح</w:t>
            </w:r>
          </w:p>
        </w:tc>
        <w:tc>
          <w:tcPr>
            <w:tcW w:type="dxa" w:w="6860"/>
          </w:tcPr>
          <w:p>
            <w:pPr>
              <w:bidi w:val="1"/>
              <w:spacing w:before="0" w:after="0" w:line="276" w:lineRule="auto"/>
            </w:pPr>
            <w:r>
              <w:rPr>
                <w:rFonts w:ascii="Arial" w:hAnsi="Arial" w:cs="Arial" w:eastAsia="Arial"/>
                <w:b/>
                <w:bCs/>
                <w:color w:val="0E1E3A"/>
                <w:sz w:val="18"/>
                <w:szCs w:val="18"/>
                <w:rtl/>
              </w:rPr>
              <w:t>92 يوما</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30 سبتمبر 2024م (غير مدققة).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4" name="Picture 900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نسب تركز الاستثمارات في محفظة الصندوق*</w:t>
      </w:r>
    </w:p>
    <w:p>
      <w:pPr>
        <w:bidi w:val="1"/>
        <w:spacing w:before="0" w:after="80" w:line="240" w:lineRule="auto"/>
        <w:jc w:val="center"/>
      </w:pPr>
      <w:r>
        <w:drawing>
          <wp:inline xmlns:a="http://schemas.openxmlformats.org/drawingml/2006/main" xmlns:pic="http://schemas.openxmlformats.org/drawingml/2006/picture">
            <wp:extent cx="6336000" cy="1883676"/>
            <wp:docPr id="5" name="Picture 9005"/>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83676"/>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متوسط مدة استثمارات الصندوق 1.6سنة.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6" name="Picture 900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المؤشرات المالية*</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فترات التقييم</w:t>
            </w:r>
          </w:p>
        </w:tc>
        <w:tc>
          <w:tcPr>
            <w:tcW w:type="dxa" w:w="6860"/>
          </w:tcPr>
          <w:p>
            <w:pPr>
              <w:bidi w:val="1"/>
              <w:spacing w:before="0" w:after="0" w:line="276" w:lineRule="auto"/>
            </w:pPr>
            <w:r>
              <w:rPr>
                <w:rFonts w:ascii="Arial" w:hAnsi="Arial" w:cs="Arial" w:eastAsia="Arial"/>
                <w:b/>
                <w:bCs/>
                <w:color w:val="0E1E3A"/>
                <w:sz w:val="18"/>
                <w:szCs w:val="18"/>
                <w:rtl/>
              </w:rPr>
              <w:t>نصف سنوي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القيمة الإجمالية لأصول الصندوق</w:t>
            </w:r>
          </w:p>
        </w:tc>
        <w:tc>
          <w:tcPr>
            <w:tcW w:type="dxa" w:w="6860"/>
          </w:tcPr>
          <w:p>
            <w:pPr>
              <w:bidi w:val="1"/>
              <w:spacing w:before="0" w:after="0" w:line="276" w:lineRule="auto"/>
            </w:pPr>
            <w:r>
              <w:rPr>
                <w:rFonts w:ascii="Arial" w:hAnsi="Arial" w:cs="Arial" w:eastAsia="Arial"/>
                <w:b/>
                <w:bCs/>
                <w:color w:val="0E1E3A"/>
                <w:sz w:val="18"/>
                <w:szCs w:val="18"/>
                <w:rtl/>
              </w:rPr>
              <w:t>308,970,652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أصول وحدات الصندوق</w:t>
            </w:r>
          </w:p>
        </w:tc>
        <w:tc>
          <w:tcPr>
            <w:tcW w:type="dxa" w:w="6860"/>
          </w:tcPr>
          <w:p>
            <w:pPr>
              <w:bidi w:val="1"/>
              <w:spacing w:before="0" w:after="0" w:line="276" w:lineRule="auto"/>
            </w:pPr>
            <w:r>
              <w:rPr>
                <w:rFonts w:ascii="Arial" w:hAnsi="Arial" w:cs="Arial" w:eastAsia="Arial"/>
                <w:b/>
                <w:bCs/>
                <w:color w:val="0E1E3A"/>
                <w:sz w:val="18"/>
                <w:szCs w:val="18"/>
                <w:rtl/>
              </w:rPr>
              <w:t>308,075,442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مبلغ مصاريف التعامل للربع المعني إلى متوسط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مصاريف التعامل للربع المعني إلى متوسط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مصروفات الصفقات للربع المعني إلى متوسط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مصروفات وأتعاب الصندوق إلى القيمة الإجمالية لأصول الصندوق</w:t>
            </w:r>
          </w:p>
        </w:tc>
        <w:tc>
          <w:tcPr>
            <w:tcW w:type="dxa" w:w="6860"/>
          </w:tcPr>
          <w:p>
            <w:pPr>
              <w:bidi w:val="1"/>
              <w:spacing w:before="0" w:after="0" w:line="276" w:lineRule="auto"/>
            </w:pPr>
            <w:r>
              <w:rPr>
                <w:rFonts w:ascii="Arial" w:hAnsi="Arial" w:cs="Arial" w:eastAsia="Arial"/>
                <w:b/>
                <w:bCs/>
                <w:color w:val="0E1E3A"/>
                <w:sz w:val="18"/>
                <w:szCs w:val="18"/>
              </w:rPr>
              <w:t>‎0.42%‎</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إجمالي تكاليف الصندوق إلى القيمة الإجمالية لأصول الصندوق**</w:t>
            </w:r>
          </w:p>
        </w:tc>
        <w:tc>
          <w:tcPr>
            <w:tcW w:type="dxa" w:w="6860"/>
          </w:tcPr>
          <w:p>
            <w:pPr>
              <w:bidi w:val="1"/>
              <w:spacing w:before="0" w:after="0" w:line="276" w:lineRule="auto"/>
            </w:pPr>
            <w:r>
              <w:rPr>
                <w:rFonts w:ascii="Arial" w:hAnsi="Arial" w:cs="Arial" w:eastAsia="Arial"/>
                <w:b/>
                <w:bCs/>
                <w:color w:val="0E1E3A"/>
                <w:sz w:val="18"/>
                <w:szCs w:val="18"/>
              </w:rPr>
              <w:t>‎0.42%‎</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إجمالي تكاليف/أتعاب الصندوق إلى متوسط صافي أصول الصندوق</w:t>
            </w:r>
          </w:p>
        </w:tc>
        <w:tc>
          <w:tcPr>
            <w:tcW w:type="dxa" w:w="6860"/>
          </w:tcPr>
          <w:p>
            <w:pPr>
              <w:bidi w:val="1"/>
              <w:spacing w:before="0" w:after="0" w:line="276" w:lineRule="auto"/>
            </w:pPr>
            <w:r>
              <w:rPr>
                <w:rFonts w:ascii="Arial" w:hAnsi="Arial" w:cs="Arial" w:eastAsia="Arial"/>
                <w:b/>
                <w:bCs/>
                <w:color w:val="0E1E3A"/>
                <w:sz w:val="18"/>
                <w:szCs w:val="18"/>
              </w:rPr>
              <w:t>‎0.42%‎</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تكاليف الصندوق للربع المعني</w:t>
            </w:r>
          </w:p>
        </w:tc>
        <w:tc>
          <w:tcPr>
            <w:tcW w:type="dxa" w:w="6860"/>
          </w:tcPr>
          <w:p>
            <w:pPr>
              <w:bidi w:val="1"/>
              <w:spacing w:before="0" w:after="0" w:line="276" w:lineRule="auto"/>
            </w:pPr>
            <w:r>
              <w:rPr>
                <w:rFonts w:ascii="Arial" w:hAnsi="Arial" w:cs="Arial" w:eastAsia="Arial"/>
                <w:b/>
                <w:bCs/>
                <w:color w:val="0E1E3A"/>
                <w:sz w:val="18"/>
                <w:szCs w:val="18"/>
                <w:rtl/>
              </w:rPr>
              <w:t>1,290,387 ر.س.</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30 سبتمبر 2024م (غير مدققة).</w:t>
      </w:r>
      <w:r>
        <w:br/>
      </w:r>
      <w:r>
        <w:rPr>
          <w:rFonts w:ascii="Arial" w:hAnsi="Arial" w:cs="Arial" w:eastAsia="Arial"/>
          <w:color w:val="5A6478"/>
          <w:sz w:val="17"/>
          <w:szCs w:val="17"/>
          <w:rtl/>
        </w:rPr>
        <w:t>** مصروفات وأتعاب الصندوق هي كافة مصروفات الصندوق خلال الربع المعني ما عدا تكلفة التمويل.</w:t>
      </w:r>
      <w:r>
        <w:br/>
      </w:r>
      <w:r>
        <w:rPr>
          <w:rFonts w:ascii="Arial" w:hAnsi="Arial" w:cs="Arial" w:eastAsia="Arial"/>
          <w:color w:val="5A6478"/>
          <w:sz w:val="17"/>
          <w:szCs w:val="17"/>
          <w:rtl/>
        </w:rPr>
        <w:t>*** إجمالي تكاليف الصندوق هي كافة أتعاب ومصروفات الصندوق متضمنة تكاليف التمويل.</w:t>
      </w:r>
      <w:r>
        <w:br/>
      </w:r>
      <w:r>
        <w:rPr>
          <w:rFonts w:ascii="Arial" w:hAnsi="Arial" w:cs="Arial" w:eastAsia="Arial"/>
          <w:color w:val="5A6478"/>
          <w:sz w:val="17"/>
          <w:szCs w:val="17"/>
          <w:rtl/>
        </w:rPr>
        <w:t>**** متوسط صافي قيمة أصول الصندوق للفترة المعنية = 306,765,896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7" name="Picture 900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الاستثمارات حسب الموقع الجغرافي</w:t>
      </w:r>
    </w:p>
    <w:p>
      <w:pPr>
        <w:bidi w:val="1"/>
        <w:spacing w:before="0" w:after="80" w:line="240" w:lineRule="auto"/>
        <w:jc w:val="center"/>
      </w:pPr>
      <w:r>
        <w:drawing>
          <wp:inline xmlns:a="http://schemas.openxmlformats.org/drawingml/2006/main" xmlns:pic="http://schemas.openxmlformats.org/drawingml/2006/picture">
            <wp:extent cx="6336000" cy="1883676"/>
            <wp:docPr id="8" name="Picture 9008"/>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83676"/>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9" name="Picture 900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أكبر 10 استثمارات بالصندوق</w:t>
      </w:r>
    </w:p>
    <w:p>
      <w:pPr>
        <w:bidi w:val="1"/>
        <w:spacing w:before="0" w:after="80" w:line="240" w:lineRule="auto"/>
        <w:jc w:val="center"/>
      </w:pPr>
      <w:r>
        <w:drawing>
          <wp:inline xmlns:a="http://schemas.openxmlformats.org/drawingml/2006/main" xmlns:pic="http://schemas.openxmlformats.org/drawingml/2006/picture">
            <wp:extent cx="6336000" cy="2911135"/>
            <wp:docPr id="10" name="Picture 9010"/>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2911135"/>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1" name="Picture 901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أصول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الديون المدعومة بالأصول</w:t>
            </w:r>
          </w:p>
        </w:tc>
        <w:tc>
          <w:tcPr>
            <w:tcW w:type="dxa" w:w="6860"/>
          </w:tcPr>
          <w:p>
            <w:pPr>
              <w:bidi w:val="1"/>
              <w:spacing w:before="0" w:after="0" w:line="276" w:lineRule="auto"/>
            </w:pPr>
            <w:r>
              <w:rPr>
                <w:rFonts w:ascii="Arial" w:hAnsi="Arial" w:cs="Arial" w:eastAsia="Arial"/>
                <w:b/>
                <w:bCs/>
                <w:color w:val="0E1E3A"/>
                <w:sz w:val="18"/>
                <w:szCs w:val="18"/>
                <w:rtl/>
              </w:rPr>
              <w:t>58,307,789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التمويل التجاري</w:t>
            </w:r>
          </w:p>
        </w:tc>
        <w:tc>
          <w:tcPr>
            <w:tcW w:type="dxa" w:w="6860"/>
          </w:tcPr>
          <w:p>
            <w:pPr>
              <w:bidi w:val="1"/>
              <w:spacing w:before="0" w:after="0" w:line="276" w:lineRule="auto"/>
            </w:pPr>
            <w:r>
              <w:rPr>
                <w:rFonts w:ascii="Arial" w:hAnsi="Arial" w:cs="Arial" w:eastAsia="Arial"/>
                <w:b/>
                <w:bCs/>
                <w:color w:val="0E1E3A"/>
                <w:sz w:val="18"/>
                <w:szCs w:val="18"/>
                <w:rtl/>
              </w:rPr>
              <w:t>88,954,789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الدخل المهيكلة</w:t>
            </w:r>
          </w:p>
        </w:tc>
        <w:tc>
          <w:tcPr>
            <w:tcW w:type="dxa" w:w="6860"/>
          </w:tcPr>
          <w:p>
            <w:pPr>
              <w:bidi w:val="1"/>
              <w:spacing w:before="0" w:after="0" w:line="276" w:lineRule="auto"/>
            </w:pPr>
            <w:r>
              <w:rPr>
                <w:rFonts w:ascii="Arial" w:hAnsi="Arial" w:cs="Arial" w:eastAsia="Arial"/>
                <w:b/>
                <w:bCs/>
                <w:color w:val="0E1E3A"/>
                <w:sz w:val="18"/>
                <w:szCs w:val="18"/>
                <w:rtl/>
              </w:rPr>
              <w:t>121,477,515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النقد وما في حكمه</w:t>
            </w:r>
          </w:p>
        </w:tc>
        <w:tc>
          <w:tcPr>
            <w:tcW w:type="dxa" w:w="6860"/>
          </w:tcPr>
          <w:p>
            <w:pPr>
              <w:bidi w:val="1"/>
              <w:spacing w:before="0" w:after="0" w:line="276" w:lineRule="auto"/>
            </w:pPr>
            <w:r>
              <w:rPr>
                <w:rFonts w:ascii="Arial" w:hAnsi="Arial" w:cs="Arial" w:eastAsia="Arial"/>
                <w:b/>
                <w:bCs/>
                <w:color w:val="0E1E3A"/>
                <w:sz w:val="18"/>
                <w:szCs w:val="18"/>
                <w:rtl/>
              </w:rPr>
              <w:t>40,230,599 ر.س.</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2" name="Picture 901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القيمة السوقية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الإدراج</w:t>
            </w:r>
          </w:p>
        </w:tc>
        <w:tc>
          <w:tcPr>
            <w:tcW w:type="dxa" w:w="6860"/>
          </w:tcPr>
          <w:p>
            <w:pPr>
              <w:bidi w:val="1"/>
              <w:spacing w:before="0" w:after="0" w:line="276" w:lineRule="auto"/>
            </w:pPr>
            <w:r>
              <w:rPr>
                <w:rFonts w:ascii="Arial" w:hAnsi="Arial" w:cs="Arial" w:eastAsia="Arial"/>
                <w:b/>
                <w:bCs/>
                <w:color w:val="0E1E3A"/>
                <w:sz w:val="18"/>
                <w:szCs w:val="18"/>
                <w:rtl/>
              </w:rPr>
              <w:t>305,456,350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سبتمبر 2024م</w:t>
            </w:r>
          </w:p>
        </w:tc>
        <w:tc>
          <w:tcPr>
            <w:tcW w:type="dxa" w:w="6860"/>
          </w:tcPr>
          <w:p>
            <w:pPr>
              <w:bidi w:val="1"/>
              <w:spacing w:before="0" w:after="0" w:line="276" w:lineRule="auto"/>
            </w:pPr>
            <w:r>
              <w:rPr>
                <w:rFonts w:ascii="Arial" w:hAnsi="Arial" w:cs="Arial" w:eastAsia="Arial"/>
                <w:b/>
                <w:bCs/>
                <w:color w:val="0E1E3A"/>
                <w:sz w:val="18"/>
                <w:szCs w:val="18"/>
                <w:rtl/>
              </w:rPr>
              <w:t>227,564,981 ر.س.</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بناء على سعر الوحدة.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3" name="Picture 901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صافي قيمة الأصول وسعر الوحدة</w:t>
      </w:r>
    </w:p>
    <w:p>
      <w:pPr>
        <w:bidi w:val="1"/>
        <w:spacing w:before="0" w:after="80" w:line="240" w:lineRule="auto"/>
        <w:jc w:val="center"/>
      </w:pPr>
      <w:r>
        <w:drawing>
          <wp:inline xmlns:a="http://schemas.openxmlformats.org/drawingml/2006/main" xmlns:pic="http://schemas.openxmlformats.org/drawingml/2006/picture">
            <wp:extent cx="6336000" cy="3091892"/>
            <wp:docPr id="14" name="Picture 9014"/>
            <wp:cNvGraphicFramePr>
              <a:graphicFrameLocks noChangeAspect="1"/>
            </wp:cNvGraphicFramePr>
            <a:graphic>
              <a:graphicData uri="http://schemas.openxmlformats.org/drawingml/2006/picture">
                <pic:pic>
                  <pic:nvPicPr>
                    <pic:cNvPr id="0" name="x5.j.jpg"/>
                    <pic:cNvPicPr/>
                  </pic:nvPicPr>
                  <pic:blipFill>
                    <a:blip r:embed="rId19"/>
                    <a:stretch>
                      <a:fillRect/>
                    </a:stretch>
                  </pic:blipFill>
                  <pic:spPr>
                    <a:xfrm>
                      <a:off x="0" y="0"/>
                      <a:ext cx="6336000" cy="3091892"/>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5" name="Picture 901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وحدات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بنهاية الربع الثالث (30 سبتمبر 2024م)</w:t>
            </w:r>
          </w:p>
        </w:tc>
        <w:tc>
          <w:tcPr>
            <w:tcW w:type="dxa" w:w="6860"/>
          </w:tcPr>
          <w:p>
            <w:pPr>
              <w:bidi w:val="1"/>
              <w:spacing w:before="0" w:after="0" w:line="276" w:lineRule="auto"/>
            </w:pPr>
            <w:r>
              <w:rPr>
                <w:rFonts w:ascii="Arial" w:hAnsi="Arial" w:cs="Arial" w:eastAsia="Arial"/>
                <w:b/>
                <w:bCs/>
                <w:color w:val="0E1E3A"/>
                <w:sz w:val="18"/>
                <w:szCs w:val="18"/>
                <w:rtl/>
              </w:rPr>
              <w:t>7.45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التغير في سعر الوحدة مقارنة بالربع السابق*</w:t>
            </w:r>
          </w:p>
        </w:tc>
        <w:tc>
          <w:tcPr>
            <w:tcW w:type="dxa" w:w="6860"/>
          </w:tcPr>
          <w:p>
            <w:pPr>
              <w:bidi w:val="1"/>
              <w:spacing w:before="0" w:after="0" w:line="276" w:lineRule="auto"/>
            </w:pPr>
            <w:r>
              <w:rPr>
                <w:rFonts w:ascii="Arial" w:hAnsi="Arial" w:cs="Arial" w:eastAsia="Arial"/>
                <w:b/>
                <w:bCs/>
                <w:color w:val="0E1E3A"/>
                <w:sz w:val="18"/>
                <w:szCs w:val="18"/>
              </w:rPr>
              <w:t>‎-25.50%‎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الإدراج (من تاريخ الإدراج إلى نهاية الربع الثالث 2024م)</w:t>
            </w:r>
          </w:p>
        </w:tc>
        <w:tc>
          <w:tcPr>
            <w:tcW w:type="dxa" w:w="6860"/>
          </w:tcPr>
          <w:p>
            <w:pPr>
              <w:bidi w:val="1"/>
              <w:spacing w:before="0" w:after="0" w:line="276" w:lineRule="auto"/>
            </w:pPr>
            <w:r>
              <w:rPr>
                <w:rFonts w:ascii="Arial" w:hAnsi="Arial" w:cs="Arial" w:eastAsia="Arial"/>
                <w:b/>
                <w:bCs/>
                <w:color w:val="0E1E3A"/>
                <w:sz w:val="18"/>
                <w:szCs w:val="18"/>
              </w:rPr>
              <w:t>‎-25.50%‎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أعلى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أدنى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7.01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الوحدات القائمة</w:t>
            </w:r>
          </w:p>
        </w:tc>
        <w:tc>
          <w:tcPr>
            <w:tcW w:type="dxa" w:w="6860"/>
          </w:tcPr>
          <w:p>
            <w:pPr>
              <w:bidi w:val="1"/>
              <w:spacing w:before="0" w:after="0" w:line="276" w:lineRule="auto"/>
            </w:pPr>
            <w:r>
              <w:rPr>
                <w:rFonts w:ascii="Arial" w:hAnsi="Arial" w:cs="Arial" w:eastAsia="Arial"/>
                <w:b/>
                <w:bCs/>
                <w:color w:val="0E1E3A"/>
                <w:sz w:val="18"/>
                <w:szCs w:val="18"/>
                <w:rtl/>
              </w:rPr>
              <w:t>30,545,635 وحدة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مكرر الربحية</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سعر الوحدة بتاريخ الإدارج 17 يوليو 2024م = 10.00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6" name="Picture 9016"/>
            <wp:cNvGraphicFramePr>
              <a:graphicFrameLocks noChangeAspect="1"/>
            </wp:cNvGraphicFramePr>
            <a:graphic>
              <a:graphicData uri="http://schemas.openxmlformats.org/drawingml/2006/picture">
                <pic:pic>
                  <pic:nvPicPr>
                    <pic:cNvPr id="0" name="ico_737e94dc9d8d67dbf235ae564951a5f7.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الأرباح</w:t>
      </w:r>
    </w:p>
    <w:p>
      <w:pPr>
        <w:pStyle w:val="Heading3"/>
        <w:keepNext/>
        <w:bidi w:val="1"/>
        <w:spacing w:before="160" w:after="100" w:line="300" w:lineRule="auto"/>
      </w:pPr>
      <w:r>
        <w:rPr>
          <w:rFonts w:ascii="Arial" w:hAnsi="Arial" w:cs="Arial" w:eastAsia="Arial"/>
          <w:b/>
          <w:bCs/>
          <w:color w:val="12284B"/>
          <w:sz w:val="22"/>
          <w:szCs w:val="22"/>
          <w:rtl/>
        </w:rPr>
        <w:t>سياسة توزيع الأرباح</w:t>
      </w:r>
    </w:p>
    <w:p>
      <w:pPr>
        <w:bidi w:val="1"/>
        <w:spacing w:before="0" w:after="80" w:line="312" w:lineRule="auto"/>
      </w:pPr>
      <w:r>
        <w:rPr>
          <w:rFonts w:ascii="Arial" w:hAnsi="Arial" w:cs="Arial" w:eastAsia="Arial"/>
          <w:color w:val="0E1E3A"/>
          <w:sz w:val="20"/>
          <w:szCs w:val="20"/>
          <w:rtl/>
        </w:rPr>
        <w:t>سيقوم الصندوق بتوزيع الأرباح (إن وجدت) خلال 40 يوم عمل من تاريخ إصدار القوائم المالية النصف السنوية والسنوية من كل سنة ميلادية، وسيتم الإعلان عن التوزيعات (إن وجدت) خلال عشرة أيام عمل من تاريخ إصدار القوائم المالية نصف السنوية والسنوية، وسيتم الإعلان عن تفاصيل التوزيعات النقدية من خلال موقع (تداول السعودية). وذلك باستثناء الأرباح الرأس مالية الناتجة عن بيع الأصول المستثمر فيها، والتي قد يتم إعادة استثمارها في أصول أخرى، أو توزيع كل أو جزء منها وفقا لتقدير مدير الصندوق. ويجوز لمدير الصندوق توزيع عوائد استثمارات الصندوق بعد خصم المصروفات والمخصصات على مالكي الوحدات أكثر من مرتين في السنة وفق تقديره.</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المدفوعة خلال الربع المعني*</w:t>
            </w:r>
          </w:p>
        </w:tc>
        <w:tc>
          <w:tcPr>
            <w:tcW w:type="dxa" w:w="6860"/>
          </w:tcPr>
          <w:p>
            <w:pPr>
              <w:bidi w:val="1"/>
              <w:spacing w:before="0" w:after="0" w:line="276" w:lineRule="auto"/>
            </w:pPr>
            <w:r>
              <w:rPr>
                <w:rFonts w:ascii="Arial" w:hAnsi="Arial" w:cs="Arial" w:eastAsia="Arial"/>
                <w:b/>
                <w:bCs/>
                <w:color w:val="0E1E3A"/>
                <w:sz w:val="18"/>
                <w:szCs w:val="18"/>
                <w:rtl/>
              </w:rPr>
              <w:t>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عن آخر فترة نصف سنوية</w:t>
            </w:r>
          </w:p>
        </w:tc>
        <w:tc>
          <w:tcPr>
            <w:tcW w:type="dxa" w:w="6860"/>
          </w:tcPr>
          <w:p>
            <w:pPr>
              <w:bidi w:val="1"/>
              <w:spacing w:before="0" w:after="0" w:line="276" w:lineRule="auto"/>
            </w:pPr>
            <w:r>
              <w:rPr>
                <w:rFonts w:ascii="Arial" w:hAnsi="Arial" w:cs="Arial" w:eastAsia="Arial"/>
                <w:b/>
                <w:bCs/>
                <w:color w:val="0E1E3A"/>
                <w:sz w:val="18"/>
                <w:szCs w:val="18"/>
                <w:rtl/>
              </w:rPr>
              <w:t>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الربح الموزع عن آخر فترة نصف سنوية عن كل وحدة</w:t>
            </w:r>
          </w:p>
        </w:tc>
        <w:tc>
          <w:tcPr>
            <w:tcW w:type="dxa" w:w="6860"/>
          </w:tcPr>
          <w:p>
            <w:pPr>
              <w:bidi w:val="1"/>
              <w:spacing w:before="0" w:after="0" w:line="276" w:lineRule="auto"/>
            </w:pPr>
            <w:r>
              <w:rPr>
                <w:rFonts w:ascii="Arial" w:hAnsi="Arial" w:cs="Arial" w:eastAsia="Arial"/>
                <w:b/>
                <w:bCs/>
                <w:color w:val="0E1E3A"/>
                <w:sz w:val="18"/>
                <w:szCs w:val="18"/>
                <w:rtl/>
              </w:rPr>
              <w:t>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في الربع المعني من سعر الوحدة الأولي</w:t>
            </w:r>
          </w:p>
        </w:tc>
        <w:tc>
          <w:tcPr>
            <w:tcW w:type="dxa" w:w="6860"/>
          </w:tcPr>
          <w:p>
            <w:pPr>
              <w:bidi w:val="1"/>
              <w:spacing w:before="0" w:after="0" w:line="276" w:lineRule="auto"/>
            </w:pPr>
            <w:r>
              <w:rPr>
                <w:rFonts w:ascii="Arial" w:hAnsi="Arial" w:cs="Arial" w:eastAsia="Arial"/>
                <w:b/>
                <w:bCs/>
                <w:color w:val="0E1E3A"/>
                <w:sz w:val="18"/>
                <w:szCs w:val="18"/>
                <w:rtl/>
              </w:rPr>
              <w:t>-</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على سعر الوحدة</w:t>
            </w:r>
          </w:p>
        </w:tc>
        <w:tc>
          <w:tcPr>
            <w:tcW w:type="dxa" w:w="6860"/>
          </w:tcPr>
          <w:p>
            <w:pPr>
              <w:bidi w:val="1"/>
              <w:spacing w:before="0" w:after="0" w:line="276" w:lineRule="auto"/>
            </w:pPr>
            <w:r>
              <w:rPr>
                <w:rFonts w:ascii="Arial" w:hAnsi="Arial" w:cs="Arial" w:eastAsia="Arial"/>
                <w:b/>
                <w:bCs/>
                <w:color w:val="0E1E3A"/>
                <w:sz w:val="18"/>
                <w:szCs w:val="18"/>
                <w:rtl/>
              </w:rPr>
              <w:t>-</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w:t>
            </w:r>
          </w:p>
        </w:tc>
        <w:tc>
          <w:tcPr>
            <w:tcW w:type="dxa" w:w="6860"/>
          </w:tcPr>
          <w:p>
            <w:pPr>
              <w:bidi w:val="1"/>
              <w:spacing w:before="0" w:after="0" w:line="276" w:lineRule="auto"/>
            </w:pPr>
            <w:r>
              <w:rPr>
                <w:rFonts w:ascii="Arial" w:hAnsi="Arial" w:cs="Arial" w:eastAsia="Arial"/>
                <w:b/>
                <w:bCs/>
                <w:color w:val="0E1E3A"/>
                <w:sz w:val="18"/>
                <w:szCs w:val="18"/>
                <w:rtl/>
              </w:rPr>
              <w:t>3,909,480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 على سعر الوحدة (30 سبتمبر 2024م)</w:t>
            </w:r>
          </w:p>
        </w:tc>
        <w:tc>
          <w:tcPr>
            <w:tcW w:type="dxa" w:w="6860"/>
          </w:tcPr>
          <w:p>
            <w:pPr>
              <w:bidi w:val="1"/>
              <w:spacing w:before="0" w:after="0" w:line="276" w:lineRule="auto"/>
            </w:pPr>
            <w:r>
              <w:rPr>
                <w:rFonts w:ascii="Arial" w:hAnsi="Arial" w:cs="Arial" w:eastAsia="Arial"/>
                <w:b/>
                <w:bCs/>
                <w:color w:val="0E1E3A"/>
                <w:sz w:val="18"/>
                <w:szCs w:val="18"/>
              </w:rPr>
              <w:t>‎1.72%‎</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من تاريخ الإدراج 17 يوليو 2024م إلى 30 سبتمبر 2024م.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7" name="Picture 901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أداء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المؤشر الاسترشادي</w:t>
            </w:r>
          </w:p>
        </w:tc>
        <w:tc>
          <w:tcPr>
            <w:tcW w:type="dxa" w:w="6860"/>
          </w:tcPr>
          <w:p>
            <w:pPr>
              <w:bidi w:val="1"/>
              <w:spacing w:before="0" w:after="0" w:line="276" w:lineRule="auto"/>
            </w:pPr>
            <w:r>
              <w:rPr>
                <w:rFonts w:ascii="Arial" w:hAnsi="Arial" w:cs="Arial" w:eastAsia="Arial"/>
                <w:b/>
                <w:bCs/>
                <w:color w:val="0E1E3A"/>
                <w:sz w:val="18"/>
                <w:szCs w:val="18"/>
                <w:rtl/>
              </w:rPr>
              <w:t xml:space="preserve">مؤشر مركب من معدل </w:t>
            </w:r>
            <w:r>
              <w:rPr>
                <w:rFonts w:ascii="Arial" w:hAnsi="Arial" w:cs="Arial" w:eastAsia="Arial"/>
                <w:b/>
                <w:bCs/>
                <w:color w:val="0E1E3A"/>
                <w:sz w:val="18"/>
                <w:szCs w:val="18"/>
              </w:rPr>
              <w:t>‎70%‎</w:t>
            </w:r>
            <w:r>
              <w:rPr>
                <w:rFonts w:ascii="Arial" w:hAnsi="Arial" w:cs="Arial" w:eastAsia="Arial"/>
                <w:b/>
                <w:bCs/>
                <w:color w:val="0E1E3A"/>
                <w:sz w:val="18"/>
                <w:szCs w:val="18"/>
                <w:rtl/>
              </w:rPr>
              <w:t xml:space="preserve"> من العائد على مؤشر داو جونز للعائد الإجمالي على الصكوك </w:t>
            </w:r>
            <w:r>
              <w:rPr>
                <w:rFonts w:ascii="Arial" w:hAnsi="Arial" w:cs="Arial" w:eastAsia="Arial"/>
                <w:b/>
                <w:bCs/>
                <w:color w:val="0E1E3A"/>
                <w:sz w:val="18"/>
                <w:szCs w:val="18"/>
              </w:rPr>
              <w:t>‎30%‎</w:t>
            </w:r>
            <w:r>
              <w:rPr>
                <w:rFonts w:ascii="Arial" w:hAnsi="Arial" w:cs="Arial" w:eastAsia="Arial"/>
                <w:b/>
                <w:bCs/>
                <w:color w:val="0E1E3A"/>
                <w:sz w:val="18"/>
                <w:szCs w:val="18"/>
                <w:rtl/>
              </w:rPr>
              <w:t xml:space="preserve"> +مؤشر سعر فائده التمويل المضمون لليلة واحدة SOFR لثلاثة أشهر. و هو مؤشر متوافق مع ضوابط الشريعة الاسلامية.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الأولي (عند بداية الطرح*)</w:t>
            </w:r>
          </w:p>
        </w:tc>
        <w:tc>
          <w:tcPr>
            <w:tcW w:type="dxa" w:w="6860"/>
          </w:tcPr>
          <w:p>
            <w:pPr>
              <w:bidi w:val="1"/>
              <w:spacing w:before="0" w:after="0" w:line="276" w:lineRule="auto"/>
            </w:pPr>
            <w:r>
              <w:rPr>
                <w:rFonts w:ascii="Arial" w:hAnsi="Arial" w:cs="Arial" w:eastAsia="Arial"/>
                <w:b/>
                <w:bCs/>
                <w:color w:val="0E1E3A"/>
                <w:sz w:val="18"/>
                <w:szCs w:val="18"/>
                <w:rtl/>
              </w:rPr>
              <w:t>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الفترة السابقة*</w:t>
            </w:r>
          </w:p>
        </w:tc>
        <w:tc>
          <w:tcPr>
            <w:tcW w:type="dxa" w:w="6860"/>
          </w:tcPr>
          <w:p>
            <w:pPr>
              <w:bidi w:val="1"/>
              <w:spacing w:before="0" w:after="0" w:line="276" w:lineRule="auto"/>
            </w:pPr>
            <w:r>
              <w:rPr>
                <w:rFonts w:ascii="Arial" w:hAnsi="Arial" w:cs="Arial" w:eastAsia="Arial"/>
                <w:b/>
                <w:bCs/>
                <w:color w:val="0E1E3A"/>
                <w:sz w:val="18"/>
                <w:szCs w:val="18"/>
              </w:rPr>
              <w:t>‎-25.50%‎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البدء*</w:t>
            </w:r>
          </w:p>
        </w:tc>
        <w:tc>
          <w:tcPr>
            <w:tcW w:type="dxa" w:w="6860"/>
          </w:tcPr>
          <w:p>
            <w:pPr>
              <w:bidi w:val="1"/>
              <w:spacing w:before="0" w:after="0" w:line="276" w:lineRule="auto"/>
            </w:pPr>
            <w:r>
              <w:rPr>
                <w:rFonts w:ascii="Arial" w:hAnsi="Arial" w:cs="Arial" w:eastAsia="Arial"/>
                <w:b/>
                <w:bCs/>
                <w:color w:val="0E1E3A"/>
                <w:sz w:val="18"/>
                <w:szCs w:val="18"/>
              </w:rPr>
              <w:t>‎-25.50%‎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العائد الكلي منذ تاريخ البدء*</w:t>
            </w:r>
          </w:p>
        </w:tc>
        <w:tc>
          <w:tcPr>
            <w:tcW w:type="dxa" w:w="6860"/>
          </w:tcPr>
          <w:p>
            <w:pPr>
              <w:bidi w:val="1"/>
              <w:spacing w:before="0" w:after="0" w:line="276" w:lineRule="auto"/>
            </w:pPr>
            <w:r>
              <w:rPr>
                <w:rFonts w:ascii="Arial" w:hAnsi="Arial" w:cs="Arial" w:eastAsia="Arial"/>
                <w:b/>
                <w:bCs/>
                <w:color w:val="0E1E3A"/>
                <w:sz w:val="18"/>
                <w:szCs w:val="18"/>
              </w:rPr>
              <w:t>‎-25.50%‎</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من تاريخ الإدراج 17 يوليو 2024م إلى 30 سبتمبر 2024م.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8" name="Picture 901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وصف المؤشر الاسترشادي للصندوق</w:t>
      </w:r>
    </w:p>
    <w:p>
      <w:pPr>
        <w:bidi w:val="1"/>
        <w:spacing w:before="0" w:after="80" w:line="312" w:lineRule="auto"/>
      </w:pPr>
      <w:r>
        <w:rPr>
          <w:rFonts w:ascii="Arial" w:hAnsi="Arial" w:cs="Arial" w:eastAsia="Arial"/>
          <w:color w:val="0E1E3A"/>
          <w:sz w:val="20"/>
          <w:szCs w:val="20"/>
          <w:rtl/>
        </w:rPr>
        <w:t xml:space="preserve">المؤشر الاسترشادي للصندوق هو مؤشر مركب من معدل </w:t>
      </w:r>
      <w:r>
        <w:rPr>
          <w:rFonts w:ascii="Arial" w:hAnsi="Arial" w:cs="Arial" w:eastAsia="Arial"/>
          <w:color w:val="0E1E3A"/>
          <w:sz w:val="20"/>
          <w:szCs w:val="20"/>
        </w:rPr>
        <w:t>‎70%‎</w:t>
      </w:r>
      <w:r>
        <w:rPr>
          <w:rFonts w:ascii="Arial" w:hAnsi="Arial" w:cs="Arial" w:eastAsia="Arial"/>
          <w:color w:val="0E1E3A"/>
          <w:sz w:val="20"/>
          <w:szCs w:val="20"/>
          <w:rtl/>
        </w:rPr>
        <w:t xml:space="preserve"> من العائد على مؤشر داو جونز للعائد الإجمالي على الصكوك </w:t>
      </w:r>
      <w:r>
        <w:rPr>
          <w:rFonts w:ascii="Arial" w:hAnsi="Arial" w:cs="Arial" w:eastAsia="Arial"/>
          <w:color w:val="0E1E3A"/>
          <w:sz w:val="20"/>
          <w:szCs w:val="20"/>
        </w:rPr>
        <w:t>‎30%‎</w:t>
      </w:r>
      <w:r>
        <w:rPr>
          <w:rFonts w:ascii="Arial" w:hAnsi="Arial" w:cs="Arial" w:eastAsia="Arial"/>
          <w:color w:val="0E1E3A"/>
          <w:sz w:val="20"/>
          <w:szCs w:val="20"/>
          <w:rtl/>
        </w:rPr>
        <w:t xml:space="preserve"> +مؤشر سعر فائد التمويل المضمون لليلة واحدة SOFR لثلاثة أشهر.</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9" name="Picture 9019"/>
            <wp:cNvGraphicFramePr>
              <a:graphicFrameLocks noChangeAspect="1"/>
            </wp:cNvGraphicFramePr>
            <a:graphic>
              <a:graphicData uri="http://schemas.openxmlformats.org/drawingml/2006/picture">
                <pic:pic>
                  <pic:nvPicPr>
                    <pic:cNvPr id="0" name="ico_a4c5ee8beea27f59442669cc4fdf4aa4.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قياس الأداء</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صندوق الخبير للدخل</w:t>
            </w:r>
          </w:p>
        </w:tc>
        <w:tc>
          <w:tcPr>
            <w:tcW w:type="dxa" w:w="3326"/>
            <w:shd w:val="clear" w:color="auto" w:fill="12284B"/>
          </w:tcPr>
          <w:p>
            <w:pPr>
              <w:bidi w:val="1"/>
              <w:spacing w:before="0" w:after="0" w:line="264" w:lineRule="auto"/>
            </w:pP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بداية الفترة*</w:t>
            </w:r>
          </w:p>
        </w:tc>
        <w:tc>
          <w:tcPr>
            <w:tcW w:type="dxa" w:w="3326"/>
          </w:tcPr>
          <w:p>
            <w:pPr>
              <w:bidi w:val="1"/>
              <w:spacing w:before="0" w:after="0" w:line="264" w:lineRule="auto"/>
            </w:pPr>
            <w:r>
              <w:rPr>
                <w:rFonts w:ascii="Arial" w:hAnsi="Arial" w:cs="Arial" w:eastAsia="Arial"/>
                <w:color w:val="0E1E3A"/>
                <w:sz w:val="17"/>
                <w:szCs w:val="17"/>
                <w:rtl/>
              </w:rPr>
              <w:t>10.0000</w:t>
            </w:r>
          </w:p>
        </w:tc>
        <w:tc>
          <w:tcPr>
            <w:tcW w:type="dxa" w:w="3326"/>
          </w:tcPr>
          <w:p>
            <w:pPr>
              <w:bidi w:val="1"/>
              <w:spacing w:before="0" w:after="0" w:line="264" w:lineRule="auto"/>
            </w:pPr>
            <w:r>
              <w:rPr>
                <w:rFonts w:ascii="Arial" w:hAnsi="Arial" w:cs="Arial" w:eastAsia="Arial"/>
                <w:color w:val="0E1E3A"/>
                <w:sz w:val="17"/>
                <w:szCs w:val="17"/>
                <w:rtl/>
              </w:rPr>
              <w:t>N/A</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نهاية الفترة**</w:t>
            </w:r>
          </w:p>
        </w:tc>
        <w:tc>
          <w:tcPr>
            <w:tcW w:type="dxa" w:w="3326"/>
          </w:tcPr>
          <w:p>
            <w:pPr>
              <w:bidi w:val="1"/>
              <w:spacing w:before="0" w:after="0" w:line="264" w:lineRule="auto"/>
            </w:pPr>
            <w:r>
              <w:rPr>
                <w:rFonts w:ascii="Arial" w:hAnsi="Arial" w:cs="Arial" w:eastAsia="Arial"/>
                <w:color w:val="0E1E3A"/>
                <w:sz w:val="17"/>
                <w:szCs w:val="17"/>
                <w:rtl/>
              </w:rPr>
              <w:t>10.0857</w:t>
            </w:r>
          </w:p>
        </w:tc>
        <w:tc>
          <w:tcPr>
            <w:tcW w:type="dxa" w:w="3326"/>
          </w:tcPr>
          <w:p>
            <w:pPr>
              <w:bidi w:val="1"/>
              <w:spacing w:before="0" w:after="0" w:line="264" w:lineRule="auto"/>
            </w:pPr>
            <w:r>
              <w:rPr>
                <w:rFonts w:ascii="Arial" w:hAnsi="Arial" w:cs="Arial" w:eastAsia="Arial"/>
                <w:color w:val="0E1E3A"/>
                <w:sz w:val="17"/>
                <w:szCs w:val="17"/>
                <w:rtl/>
              </w:rPr>
              <w:t>N/A</w:t>
            </w:r>
          </w:p>
        </w:tc>
      </w:tr>
      <w:tr>
        <w:tc>
          <w:tcPr>
            <w:tcW w:type="dxa" w:w="3326"/>
          </w:tcPr>
          <w:p>
            <w:pPr>
              <w:bidi w:val="1"/>
              <w:spacing w:before="0" w:after="0" w:line="264" w:lineRule="auto"/>
            </w:pPr>
            <w:r>
              <w:rPr>
                <w:rFonts w:ascii="Arial" w:hAnsi="Arial" w:cs="Arial" w:eastAsia="Arial"/>
                <w:color w:val="0E1E3A"/>
                <w:sz w:val="17"/>
                <w:szCs w:val="17"/>
                <w:rtl/>
              </w:rPr>
              <w:t>أداء الوحدة</w:t>
            </w:r>
          </w:p>
        </w:tc>
        <w:tc>
          <w:tcPr>
            <w:tcW w:type="dxa" w:w="3326"/>
          </w:tcPr>
          <w:p>
            <w:pPr>
              <w:bidi w:val="1"/>
              <w:spacing w:before="0" w:after="0" w:line="264" w:lineRule="auto"/>
            </w:pPr>
            <w:r>
              <w:rPr>
                <w:rFonts w:ascii="Arial" w:hAnsi="Arial" w:cs="Arial" w:eastAsia="Arial"/>
                <w:color w:val="0E1E3A"/>
                <w:sz w:val="17"/>
                <w:szCs w:val="17"/>
              </w:rPr>
              <w:t>‎0.86%‎</w:t>
            </w:r>
          </w:p>
        </w:tc>
        <w:tc>
          <w:tcPr>
            <w:tcW w:type="dxa" w:w="3326"/>
          </w:tcPr>
          <w:p>
            <w:pPr>
              <w:bidi w:val="1"/>
              <w:spacing w:before="0" w:after="0" w:line="264" w:lineRule="auto"/>
            </w:pPr>
            <w:r>
              <w:rPr>
                <w:rFonts w:ascii="Arial" w:hAnsi="Arial" w:cs="Arial" w:eastAsia="Arial"/>
                <w:color w:val="0E1E3A"/>
                <w:sz w:val="17"/>
                <w:szCs w:val="17"/>
              </w:rPr>
              <w:t>‎1.03%‎</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الإدراج 17 يوليو 2024م.</w:t>
      </w:r>
      <w:r>
        <w:br/>
      </w:r>
      <w:r>
        <w:rPr>
          <w:rFonts w:ascii="Arial" w:hAnsi="Arial" w:cs="Arial" w:eastAsia="Arial"/>
          <w:color w:val="5A6478"/>
          <w:sz w:val="17"/>
          <w:szCs w:val="17"/>
          <w:rtl/>
        </w:rPr>
        <w:t>** كما في تاريخ 30 سبتمبر 2024م.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0" name="Picture 902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ملكية استثمارات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الملكية</w:t>
            </w:r>
          </w:p>
        </w:tc>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النسبة (%)</w:t>
            </w:r>
          </w:p>
        </w:tc>
      </w:tr>
      <w:tr>
        <w:tc>
          <w:tcPr>
            <w:tcW w:type="dxa" w:w="4989"/>
          </w:tcPr>
          <w:p>
            <w:pPr>
              <w:bidi w:val="1"/>
              <w:spacing w:before="0" w:after="0" w:line="264" w:lineRule="auto"/>
            </w:pPr>
            <w:r>
              <w:rPr>
                <w:rFonts w:ascii="Arial" w:hAnsi="Arial" w:cs="Arial" w:eastAsia="Arial"/>
                <w:color w:val="0E1E3A"/>
                <w:sz w:val="17"/>
                <w:szCs w:val="17"/>
                <w:rtl/>
              </w:rPr>
              <w:t>ملكية تامة</w:t>
            </w:r>
          </w:p>
        </w:tc>
        <w:tc>
          <w:tcPr>
            <w:tcW w:type="dxa" w:w="4989"/>
          </w:tcPr>
          <w:p>
            <w:pPr>
              <w:bidi w:val="1"/>
              <w:spacing w:before="0" w:after="0" w:line="264" w:lineRule="auto"/>
            </w:pPr>
            <w:r>
              <w:rPr>
                <w:rFonts w:ascii="Arial" w:hAnsi="Arial" w:cs="Arial" w:eastAsia="Arial"/>
                <w:color w:val="0E1E3A"/>
                <w:sz w:val="17"/>
                <w:szCs w:val="17"/>
              </w:rPr>
              <w:t>‎100%‎</w:t>
            </w:r>
          </w:p>
        </w:tc>
      </w:tr>
      <w:tr>
        <w:tc>
          <w:tcPr>
            <w:tcW w:type="dxa" w:w="4989"/>
          </w:tcPr>
          <w:p>
            <w:pPr>
              <w:bidi w:val="1"/>
              <w:spacing w:before="0" w:after="0" w:line="264" w:lineRule="auto"/>
            </w:pPr>
            <w:r>
              <w:rPr>
                <w:rFonts w:ascii="Arial" w:hAnsi="Arial" w:cs="Arial" w:eastAsia="Arial"/>
                <w:color w:val="0E1E3A"/>
                <w:sz w:val="17"/>
                <w:szCs w:val="17"/>
                <w:rtl/>
              </w:rPr>
              <w:t>حق منفعة</w:t>
            </w:r>
          </w:p>
        </w:tc>
        <w:tc>
          <w:tcPr>
            <w:tcW w:type="dxa" w:w="4989"/>
          </w:tcPr>
          <w:p>
            <w:pPr>
              <w:bidi w:val="1"/>
              <w:spacing w:before="0" w:after="0" w:line="264" w:lineRule="auto"/>
            </w:pPr>
            <w:r>
              <w:rPr>
                <w:rFonts w:ascii="Arial" w:hAnsi="Arial" w:cs="Arial" w:eastAsia="Arial"/>
                <w:color w:val="0E1E3A"/>
                <w:sz w:val="17"/>
                <w:szCs w:val="17"/>
              </w:rPr>
              <w:t>‎0%‎</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1" name="Picture 9021"/>
            <wp:cNvGraphicFramePr>
              <a:graphicFrameLocks noChangeAspect="1"/>
            </wp:cNvGraphicFramePr>
            <a:graphic>
              <a:graphicData uri="http://schemas.openxmlformats.org/drawingml/2006/picture">
                <pic:pic>
                  <pic:nvPicPr>
                    <pic:cNvPr id="0" name="ico_a4c5ee8beea27f59442669cc4fdf4aa4.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العوائد</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العائد الكلي إلى صافي قيمة الوحدة "أداء الصندوق"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أداء المؤشر الاسترشادي</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فارق الأداء</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لا ينطبق كما في تاريخ الإدراج 17 يوليو 2024م.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2" name="Picture 9022"/>
            <wp:cNvGraphicFramePr>
              <a:graphicFrameLocks noChangeAspect="1"/>
            </wp:cNvGraphicFramePr>
            <a:graphic>
              <a:graphicData uri="http://schemas.openxmlformats.org/drawingml/2006/picture">
                <pic:pic>
                  <pic:nvPicPr>
                    <pic:cNvPr id="0" name="ico_47bcec02f49b9d1a764a57a70a5c8310.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معايير الأداء والمخاطر</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الانحراف المعياري</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شارب</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خطأ التتبع</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بيتا</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ألفا</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المعلومات</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لا ينطبق كما في تاريخ الادراج 17 يوليو 2024م.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3" name="Picture 9023"/>
            <wp:cNvGraphicFramePr>
              <a:graphicFrameLocks noChangeAspect="1"/>
            </wp:cNvGraphicFramePr>
            <a:graphic>
              <a:graphicData uri="http://schemas.openxmlformats.org/drawingml/2006/picture">
                <pic:pic>
                  <pic:nvPicPr>
                    <pic:cNvPr id="0" name="ico_c788ceab6c6867ef93d8dd6b26beef99.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مستجدات الصندوق وأية تغيرات أساسية أو غير أساسية تؤثر على عمل الصندوق</w:t>
      </w:r>
    </w:p>
    <w:p>
      <w:pPr>
        <w:bidi w:val="1"/>
        <w:spacing w:before="0" w:after="80" w:line="312" w:lineRule="auto"/>
      </w:pPr>
      <w:r>
        <w:rPr>
          <w:rFonts w:ascii="Arial" w:hAnsi="Arial" w:cs="Arial" w:eastAsia="Arial"/>
          <w:color w:val="0E1E3A"/>
          <w:sz w:val="20"/>
          <w:szCs w:val="20"/>
          <w:rtl/>
        </w:rPr>
        <w:t>لا توجد مستجدات أو تغييرات أساسية أو غير أساسية تؤثر على عمل الصندوق.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4" name="Picture 902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سعر الوحدة المتداولة في السوق منذ بدء الصندوق</w:t>
      </w:r>
    </w:p>
    <w:p>
      <w:pPr>
        <w:bidi w:val="1"/>
        <w:spacing w:before="0" w:after="80" w:line="240" w:lineRule="auto"/>
        <w:jc w:val="center"/>
      </w:pPr>
      <w:r>
        <w:drawing>
          <wp:inline xmlns:a="http://schemas.openxmlformats.org/drawingml/2006/main" xmlns:pic="http://schemas.openxmlformats.org/drawingml/2006/picture">
            <wp:extent cx="6336000" cy="2825514"/>
            <wp:docPr id="25" name="Picture 9025"/>
            <wp:cNvGraphicFramePr>
              <a:graphicFrameLocks noChangeAspect="1"/>
            </wp:cNvGraphicFramePr>
            <a:graphic>
              <a:graphicData uri="http://schemas.openxmlformats.org/drawingml/2006/picture">
                <pic:pic>
                  <pic:nvPicPr>
                    <pic:cNvPr id="0" name="x6.j.jpg"/>
                    <pic:cNvPicPr/>
                  </pic:nvPicPr>
                  <pic:blipFill>
                    <a:blip r:embed="rId24"/>
                    <a:stretch>
                      <a:fillRect/>
                    </a:stretch>
                  </pic:blipFill>
                  <pic:spPr>
                    <a:xfrm>
                      <a:off x="0" y="0"/>
                      <a:ext cx="6336000" cy="2825514"/>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6" name="Picture 9026"/>
            <wp:cNvGraphicFramePr>
              <a:graphicFrameLocks noChangeAspect="1"/>
            </wp:cNvGraphicFramePr>
            <a:graphic>
              <a:graphicData uri="http://schemas.openxmlformats.org/drawingml/2006/picture">
                <pic:pic>
                  <pic:nvPicPr>
                    <pic:cNvPr id="0" name="ico_8eba3796ad497c7a142d47da7c90fea0.png"/>
                    <pic:cNvPicPr/>
                  </pic:nvPicPr>
                  <pic:blipFill>
                    <a:blip r:embed="rId2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للحصول على المزيد من المعلومات</w:t>
      </w:r>
    </w:p>
    <w:p>
      <w:pPr>
        <w:bidi w:val="1"/>
        <w:spacing w:before="0" w:after="80" w:line="312" w:lineRule="auto"/>
      </w:pPr>
      <w:r>
        <w:rPr>
          <w:rFonts w:ascii="Arial" w:hAnsi="Arial" w:cs="Arial" w:eastAsia="Arial"/>
          <w:color w:val="0E1E3A"/>
          <w:sz w:val="20"/>
          <w:szCs w:val="20"/>
          <w:rtl/>
        </w:rPr>
        <w:t>شركة الخبير المالية</w:t>
      </w:r>
      <w:r>
        <w:br/>
      </w:r>
      <w:r>
        <w:rPr>
          <w:rFonts w:ascii="Arial" w:hAnsi="Arial" w:cs="Arial" w:eastAsia="Arial"/>
          <w:color w:val="0E1E3A"/>
          <w:sz w:val="20"/>
          <w:szCs w:val="20"/>
          <w:rtl/>
        </w:rPr>
        <w:t>ص.ب 128289 جدة 21362</w:t>
      </w:r>
      <w:r>
        <w:br/>
      </w:r>
      <w:r>
        <w:rPr>
          <w:rFonts w:ascii="Arial" w:hAnsi="Arial" w:cs="Arial" w:eastAsia="Arial"/>
          <w:color w:val="0E1E3A"/>
          <w:sz w:val="20"/>
          <w:szCs w:val="20"/>
          <w:rtl/>
        </w:rPr>
        <w:t>المملكة العربية السعودية</w:t>
      </w:r>
      <w:r>
        <w:br/>
      </w:r>
      <w:r>
        <w:rPr>
          <w:rFonts w:ascii="Arial" w:hAnsi="Arial" w:cs="Arial" w:eastAsia="Arial"/>
          <w:color w:val="0E1E3A"/>
          <w:sz w:val="20"/>
          <w:szCs w:val="20"/>
          <w:rtl/>
        </w:rPr>
        <w:t xml:space="preserve">هاتف: </w:t>
      </w:r>
      <w:r>
        <w:rPr>
          <w:rFonts w:ascii="Arial" w:hAnsi="Arial" w:cs="Arial" w:eastAsia="Arial"/>
          <w:color w:val="0E1E3A"/>
          <w:sz w:val="20"/>
          <w:szCs w:val="20"/>
        </w:rPr>
        <w:t>‎+966 12 658 8888‎</w:t>
      </w:r>
      <w:r>
        <w:br/>
      </w:r>
      <w:r>
        <w:rPr>
          <w:rFonts w:ascii="Arial" w:hAnsi="Arial" w:cs="Arial" w:eastAsia="Arial"/>
          <w:color w:val="0E1E3A"/>
          <w:sz w:val="20"/>
          <w:szCs w:val="20"/>
          <w:rtl/>
        </w:rPr>
        <w:t xml:space="preserve">فاكس: </w:t>
      </w:r>
      <w:r>
        <w:rPr>
          <w:rFonts w:ascii="Arial" w:hAnsi="Arial" w:cs="Arial" w:eastAsia="Arial"/>
          <w:color w:val="0E1E3A"/>
          <w:sz w:val="20"/>
          <w:szCs w:val="20"/>
        </w:rPr>
        <w:t>‎+966 12 658 6663‎</w:t>
      </w:r>
      <w:r>
        <w:br/>
      </w:r>
      <w:r>
        <w:rPr>
          <w:rFonts w:ascii="Arial" w:hAnsi="Arial" w:cs="Arial" w:eastAsia="Arial"/>
          <w:color w:val="0E1E3A"/>
          <w:sz w:val="20"/>
          <w:szCs w:val="20"/>
          <w:rtl/>
        </w:rPr>
        <w:t>البريد الإلكتروني: info@alkhabeer.com</w:t>
      </w:r>
      <w:r>
        <w:br/>
      </w:r>
      <w:r>
        <w:rPr>
          <w:rFonts w:ascii="Arial" w:hAnsi="Arial" w:cs="Arial" w:eastAsia="Arial"/>
          <w:color w:val="0E1E3A"/>
          <w:sz w:val="20"/>
          <w:szCs w:val="20"/>
          <w:rtl/>
        </w:rPr>
        <w:t>رقم السجل التجاري: 4030177445</w:t>
      </w:r>
      <w:r>
        <w:br/>
      </w:r>
      <w:r>
        <w:rPr>
          <w:rFonts w:ascii="Arial" w:hAnsi="Arial" w:cs="Arial" w:eastAsia="Arial"/>
          <w:color w:val="0E1E3A"/>
          <w:sz w:val="20"/>
          <w:szCs w:val="20"/>
          <w:rtl/>
        </w:rPr>
        <w:t xml:space="preserve">الرخصة الصادرة من هيئة السوق المالية: </w:t>
      </w:r>
      <w:r>
        <w:rPr>
          <w:rFonts w:ascii="Arial" w:hAnsi="Arial" w:cs="Arial" w:eastAsia="Arial"/>
          <w:color w:val="0E1E3A"/>
          <w:sz w:val="20"/>
          <w:szCs w:val="20"/>
        </w:rPr>
        <w:t>‎07074-37‎</w:t>
      </w:r>
      <w:r>
        <w:br/>
      </w:r>
      <w:r>
        <w:rPr>
          <w:rFonts w:ascii="Arial" w:hAnsi="Arial" w:cs="Arial" w:eastAsia="Arial"/>
          <w:color w:val="0E1E3A"/>
          <w:sz w:val="20"/>
          <w:szCs w:val="20"/>
          <w:rtl/>
        </w:rPr>
        <w:t>www.alkhabeer.com</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7" name="Picture 9027"/>
            <wp:cNvGraphicFramePr>
              <a:graphicFrameLocks noChangeAspect="1"/>
            </wp:cNvGraphicFramePr>
            <a:graphic>
              <a:graphicData uri="http://schemas.openxmlformats.org/drawingml/2006/picture">
                <pic:pic>
                  <pic:nvPicPr>
                    <pic:cNvPr id="0" name="ico_31799530e5dd3dc5b4ca7f2d37945432.png"/>
                    <pic:cNvPicPr/>
                  </pic:nvPicPr>
                  <pic:blipFill>
                    <a:blip r:embed="rId2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إشعار مهم</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للدخل المتنوع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للدخل"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يعد استثمار المستثمر في الصندوق إقرارا منه باطلاعه على شروط وأحكام الصندوق وقبوله بها. تنتفي المسؤولية عن مدير الصندوق أو أي من تابعيه في حال وقوع أي خسارة مالية للصندوق ما لم يكن ذلك ناتجا عن أسباب متعمدة من قبل مدير الصندوق. الاستثمار في الصندوق خاضع للرسوم كما هو مذكور في الشروط والأحكام.</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bidi w:val="1"/>
      <w:spacing w:before="0" w:after="0" w:line="240" w:lineRule="auto"/>
    </w:pPr>
    <w:r/>
    <w:r>
      <w:rPr>
        <w:rFonts w:ascii="Arial" w:hAnsi="Arial" w:cs="Arial" w:eastAsia="Arial"/>
        <w:color w:val="5A6478"/>
        <w:sz w:val="15"/>
        <w:szCs w:val="15"/>
        <w:rtl/>
      </w:rPr>
      <w:t>البيان الربع سنوي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ar-S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eastAsia="Arial"/>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00"/>
      <w:outlineLvl w:val="0"/>
    </w:pPr>
    <w:rPr>
      <w:rFonts w:ascii="Arial" w:hAnsi="Arial" w:cs="Arial" w:eastAsia="Arial"/>
      <w:b/>
      <w:bCs/>
      <w:color w:val="12284B"/>
      <w:sz w:val="36"/>
      <w:szCs w:val="28"/>
      <w:rtl/>
    </w:rPr>
  </w:style>
  <w:style w:type="paragraph" w:styleId="Heading2">
    <w:name w:val="heading 2"/>
    <w:basedOn w:val="Normal"/>
    <w:next w:val="Normal"/>
    <w:link w:val="Heading2Char"/>
    <w:uiPriority w:val="9"/>
    <w:unhideWhenUsed/>
    <w:qFormat/>
    <w:rsid w:val="00FC693F"/>
    <w:pPr>
      <w:keepNext/>
      <w:keepLines/>
      <w:bidi w:val="1"/>
      <w:spacing w:before="200" w:after="100"/>
      <w:outlineLvl w:val="1"/>
    </w:pPr>
    <w:rPr>
      <w:rFonts w:ascii="Arial" w:hAnsi="Arial" w:cs="Arial" w:eastAsia="Arial"/>
      <w:b/>
      <w:bCs/>
      <w:color w:val="12284B"/>
      <w:sz w:val="26"/>
      <w:szCs w:val="26"/>
      <w:rtl/>
    </w:rPr>
  </w:style>
  <w:style w:type="paragraph" w:styleId="Heading3">
    <w:name w:val="heading 3"/>
    <w:basedOn w:val="Normal"/>
    <w:next w:val="Normal"/>
    <w:link w:val="Heading3Char"/>
    <w:uiPriority w:val="9"/>
    <w:unhideWhenUsed/>
    <w:qFormat/>
    <w:rsid w:val="00FC693F"/>
    <w:pPr>
      <w:keepNext/>
      <w:keepLines/>
      <w:bidi w:val="1"/>
      <w:spacing w:before="200" w:after="100"/>
      <w:outlineLvl w:val="2"/>
    </w:pPr>
    <w:rPr>
      <w:rFonts w:ascii="Arial" w:hAnsi="Arial" w:cs="Arial" w:eastAsia="Arial"/>
      <w:b/>
      <w:bCs/>
      <w:color w:val="12284B"/>
      <w:sz w:val="22"/>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val="1"/>
      <w:spacing w:after="300" w:line="240" w:lineRule="auto"/>
      <w:contextualSpacing/>
    </w:pPr>
    <w:rPr>
      <w:rFonts w:ascii="Arial" w:hAnsi="Arial" w:cs="Arial" w:eastAsia="Arial"/>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val="1"/>
      <w:ind w:left="720"/>
      <w:contextualSpacing/>
    </w:pPr>
    <w:rPr>
      <w:rFonts w:ascii="Arial" w:hAnsi="Arial" w:cs="Arial" w:eastAsia="Arial"/>
      <w:rt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jpg"/><Relationship Id="rId25" Type="http://schemas.openxmlformats.org/officeDocument/2006/relationships/image" Target="media/image13.png"/><Relationship Id="rId26"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صندوق الخبير للدخل المتنوع 2030 المتداول — البيان الربع سنوي الربع الثالث 2024م</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