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01"/>
            <wp:cNvGraphicFramePr/>
            <a:graphic>
              <a:graphicData uri="http://schemas.openxmlformats.org/drawingml/2006/picture">
                <pic:pic>
                  <pic:nvPicPr>
                    <pic:cNvPr id="9001" name="banner9001.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 name="Picture 9002"/>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OVERVIEW</w:t>
      </w:r>
    </w:p>
    <w:p>
      <w:pPr>
        <w:spacing w:before="0" w:after="80" w:line="312" w:lineRule="auto"/>
      </w:pPr>
      <w:r>
        <w:rPr>
          <w:rFonts w:ascii="Arial" w:hAnsi="Arial" w:cs="Arial" w:eastAsia="Arial"/>
          <w:color w:val="0E1E3A"/>
          <w:sz w:val="20"/>
          <w:szCs w:val="20"/>
        </w:rPr>
        <w:t>Alkhabeer Diversified Income Traded Fund 2030 (“the Fund”) is a public closed-ended Shari’a-compliant investment traded fund established in accordance with the Investment Funds Regulations and the applicable laws and regulations of the Kingdom of Saudi Arabia and regulated by the Capital Market Authority (CMA). The Fund’s investment objective is to generate periodic income to investors by investing in income generating assets using a Shari’a-compliant investment structure. The Fund Manager “Alkhabeer Capital” plans to invest in Sukuk, trade finance transactions, leasing transactions, structured income instruments, asset backed debts, income funds and Murabaha transactions, either directly or through investment funds.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3" name="Picture 900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KEY FUND FACTS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TADAWUL SYMBOL</w:t>
            </w:r>
          </w:p>
        </w:tc>
        <w:tc>
          <w:tcPr>
            <w:tcW w:type="dxa" w:w="6860"/>
          </w:tcPr>
          <w:p>
            <w:pPr>
              <w:spacing w:before="0" w:after="0" w:line="276" w:lineRule="auto"/>
            </w:pPr>
            <w:r>
              <w:rPr>
                <w:rFonts w:ascii="Arial" w:hAnsi="Arial" w:cs="Arial" w:eastAsia="Arial"/>
                <w:b/>
                <w:bCs/>
                <w:color w:val="0E1E3A"/>
                <w:sz w:val="18"/>
                <w:szCs w:val="18"/>
              </w:rPr>
              <w:t>4702</w:t>
            </w:r>
          </w:p>
        </w:tc>
      </w:tr>
      <w:tr>
        <w:tc>
          <w:tcPr>
            <w:tcW w:type="dxa" w:w="3118"/>
            <w:shd w:val="clear" w:color="auto" w:fill="F3F6FB"/>
          </w:tcPr>
          <w:p>
            <w:pPr>
              <w:spacing w:before="0" w:after="0" w:line="276" w:lineRule="auto"/>
            </w:pPr>
            <w:r>
              <w:rPr>
                <w:rFonts w:ascii="Arial" w:hAnsi="Arial" w:cs="Arial" w:eastAsia="Arial"/>
                <w:color w:val="5A6478"/>
                <w:sz w:val="18"/>
                <w:szCs w:val="18"/>
              </w:rPr>
              <w:t>BLOOMBERG SYMBOL</w:t>
            </w:r>
          </w:p>
        </w:tc>
        <w:tc>
          <w:tcPr>
            <w:tcW w:type="dxa" w:w="6860"/>
          </w:tcPr>
          <w:p>
            <w:pPr>
              <w:spacing w:before="0" w:after="0" w:line="276" w:lineRule="auto"/>
            </w:pPr>
            <w:r>
              <w:rPr>
                <w:rFonts w:ascii="Arial" w:hAnsi="Arial" w:cs="Arial" w:eastAsia="Arial"/>
                <w:b/>
                <w:bCs/>
                <w:color w:val="0E1E3A"/>
                <w:sz w:val="18"/>
                <w:szCs w:val="18"/>
              </w:rPr>
              <w:t>AKDI2030:AB</w:t>
            </w:r>
          </w:p>
        </w:tc>
      </w:tr>
      <w:tr>
        <w:tc>
          <w:tcPr>
            <w:tcW w:type="dxa" w:w="3118"/>
            <w:shd w:val="clear" w:color="auto" w:fill="F3F6FB"/>
          </w:tcPr>
          <w:p>
            <w:pPr>
              <w:spacing w:before="0" w:after="0" w:line="276" w:lineRule="auto"/>
            </w:pPr>
            <w:r>
              <w:rPr>
                <w:rFonts w:ascii="Arial" w:hAnsi="Arial" w:cs="Arial" w:eastAsia="Arial"/>
                <w:color w:val="5A6478"/>
                <w:sz w:val="18"/>
                <w:szCs w:val="18"/>
              </w:rPr>
              <w:t>FUND TYPE</w:t>
            </w:r>
          </w:p>
        </w:tc>
        <w:tc>
          <w:tcPr>
            <w:tcW w:type="dxa" w:w="6860"/>
          </w:tcPr>
          <w:p>
            <w:pPr>
              <w:spacing w:before="0" w:after="0" w:line="276" w:lineRule="auto"/>
            </w:pPr>
            <w:r>
              <w:rPr>
                <w:rFonts w:ascii="Arial" w:hAnsi="Arial" w:cs="Arial" w:eastAsia="Arial"/>
                <w:b/>
                <w:bCs/>
                <w:color w:val="0E1E3A"/>
                <w:sz w:val="18"/>
                <w:szCs w:val="18"/>
              </w:rPr>
              <w:t>Closed-ended Traded Public Fund</w:t>
            </w:r>
          </w:p>
        </w:tc>
      </w:tr>
      <w:tr>
        <w:tc>
          <w:tcPr>
            <w:tcW w:type="dxa" w:w="3118"/>
            <w:shd w:val="clear" w:color="auto" w:fill="F3F6FB"/>
          </w:tcPr>
          <w:p>
            <w:pPr>
              <w:spacing w:before="0" w:after="0" w:line="276" w:lineRule="auto"/>
            </w:pPr>
            <w:r>
              <w:rPr>
                <w:rFonts w:ascii="Arial" w:hAnsi="Arial" w:cs="Arial" w:eastAsia="Arial"/>
                <w:color w:val="5A6478"/>
                <w:sz w:val="18"/>
                <w:szCs w:val="18"/>
              </w:rPr>
              <w:t>LISTING DATE</w:t>
            </w:r>
          </w:p>
        </w:tc>
        <w:tc>
          <w:tcPr>
            <w:tcW w:type="dxa" w:w="6860"/>
          </w:tcPr>
          <w:p>
            <w:pPr>
              <w:spacing w:before="0" w:after="0" w:line="276" w:lineRule="auto"/>
            </w:pPr>
            <w:r>
              <w:rPr>
                <w:rFonts w:ascii="Arial" w:hAnsi="Arial" w:cs="Arial" w:eastAsia="Arial"/>
                <w:b/>
                <w:bCs/>
                <w:color w:val="0E1E3A"/>
                <w:sz w:val="18"/>
                <w:szCs w:val="18"/>
              </w:rPr>
              <w:t>17 July 2024</w:t>
            </w:r>
          </w:p>
        </w:tc>
      </w:tr>
      <w:tr>
        <w:tc>
          <w:tcPr>
            <w:tcW w:type="dxa" w:w="3118"/>
            <w:shd w:val="clear" w:color="auto" w:fill="F3F6FB"/>
          </w:tcPr>
          <w:p>
            <w:pPr>
              <w:spacing w:before="0" w:after="0" w:line="276" w:lineRule="auto"/>
            </w:pPr>
            <w:r>
              <w:rPr>
                <w:rFonts w:ascii="Arial" w:hAnsi="Arial" w:cs="Arial" w:eastAsia="Arial"/>
                <w:color w:val="5A6478"/>
                <w:sz w:val="18"/>
                <w:szCs w:val="18"/>
              </w:rPr>
              <w:t>FUND TERM</w:t>
            </w:r>
          </w:p>
        </w:tc>
        <w:tc>
          <w:tcPr>
            <w:tcW w:type="dxa" w:w="6860"/>
          </w:tcPr>
          <w:p>
            <w:pPr>
              <w:spacing w:before="0" w:after="0" w:line="276" w:lineRule="auto"/>
            </w:pPr>
            <w:r>
              <w:rPr>
                <w:rFonts w:ascii="Arial" w:hAnsi="Arial" w:cs="Arial" w:eastAsia="Arial"/>
                <w:b/>
                <w:bCs/>
                <w:color w:val="0E1E3A"/>
                <w:sz w:val="18"/>
                <w:szCs w:val="18"/>
              </w:rPr>
              <w:t>6 years, starting as from the Listing Date</w:t>
            </w:r>
          </w:p>
        </w:tc>
      </w:tr>
      <w:tr>
        <w:tc>
          <w:tcPr>
            <w:tcW w:type="dxa" w:w="3118"/>
            <w:shd w:val="clear" w:color="auto" w:fill="F3F6FB"/>
          </w:tcPr>
          <w:p>
            <w:pPr>
              <w:spacing w:before="0" w:after="0" w:line="276" w:lineRule="auto"/>
            </w:pPr>
            <w:r>
              <w:rPr>
                <w:rFonts w:ascii="Arial" w:hAnsi="Arial" w:cs="Arial" w:eastAsia="Arial"/>
                <w:color w:val="5A6478"/>
                <w:sz w:val="18"/>
                <w:szCs w:val="18"/>
              </w:rPr>
              <w:t>NET ASSET VALUE PER UNIT</w:t>
            </w:r>
          </w:p>
        </w:tc>
        <w:tc>
          <w:tcPr>
            <w:tcW w:type="dxa" w:w="6860"/>
          </w:tcPr>
          <w:p>
            <w:pPr>
              <w:spacing w:before="0" w:after="0" w:line="276" w:lineRule="auto"/>
            </w:pPr>
            <w:r>
              <w:rPr>
                <w:rFonts w:ascii="Arial" w:hAnsi="Arial" w:cs="Arial" w:eastAsia="Arial"/>
                <w:b/>
                <w:bCs/>
                <w:color w:val="0E1E3A"/>
                <w:sz w:val="18"/>
                <w:szCs w:val="18"/>
              </w:rPr>
              <w:t>SAR 10.0857</w:t>
            </w:r>
          </w:p>
        </w:tc>
      </w:tr>
      <w:tr>
        <w:tc>
          <w:tcPr>
            <w:tcW w:type="dxa" w:w="3118"/>
            <w:shd w:val="clear" w:color="auto" w:fill="F3F6FB"/>
          </w:tcPr>
          <w:p>
            <w:pPr>
              <w:spacing w:before="0" w:after="0" w:line="276" w:lineRule="auto"/>
            </w:pPr>
            <w:r>
              <w:rPr>
                <w:rFonts w:ascii="Arial" w:hAnsi="Arial" w:cs="Arial" w:eastAsia="Arial"/>
                <w:color w:val="5A6478"/>
                <w:sz w:val="18"/>
                <w:szCs w:val="18"/>
              </w:rPr>
              <w:t>FUND ASSETS SIZE*</w:t>
            </w:r>
          </w:p>
        </w:tc>
        <w:tc>
          <w:tcPr>
            <w:tcW w:type="dxa" w:w="6860"/>
          </w:tcPr>
          <w:p>
            <w:pPr>
              <w:spacing w:before="0" w:after="0" w:line="276" w:lineRule="auto"/>
            </w:pPr>
            <w:r>
              <w:rPr>
                <w:rFonts w:ascii="Arial" w:hAnsi="Arial" w:cs="Arial" w:eastAsia="Arial"/>
                <w:b/>
                <w:bCs/>
                <w:color w:val="0E1E3A"/>
                <w:sz w:val="18"/>
                <w:szCs w:val="18"/>
              </w:rPr>
              <w:t>SAR 308,970,652</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CAPITAL 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FINANCING AMOUNT*</w:t>
            </w:r>
          </w:p>
        </w:tc>
        <w:tc>
          <w:tcPr>
            <w:tcW w:type="dxa" w:w="6860"/>
          </w:tcPr>
          <w:p>
            <w:pPr>
              <w:spacing w:before="0" w:after="0" w:line="276" w:lineRule="auto"/>
            </w:pPr>
            <w:r>
              <w:rPr>
                <w:rFonts w:ascii="Arial" w:hAnsi="Arial" w:cs="Arial" w:eastAsia="Arial"/>
                <w:b/>
                <w:bCs/>
                <w:color w:val="0E1E3A"/>
                <w:sz w:val="18"/>
                <w:szCs w:val="18"/>
              </w:rPr>
              <w:t>SAR -</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TOTAL ASSET VALUE*</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LOANS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FUND MANAGER’S INVESTMENT VALUE AT THE END OF THE REPORTING QUARTER</w:t>
            </w:r>
          </w:p>
        </w:tc>
        <w:tc>
          <w:tcPr>
            <w:tcW w:type="dxa" w:w="6860"/>
          </w:tcPr>
          <w:p>
            <w:pPr>
              <w:spacing w:before="0" w:after="0" w:line="276" w:lineRule="auto"/>
            </w:pPr>
            <w:r>
              <w:rPr>
                <w:rFonts w:ascii="Arial" w:hAnsi="Arial" w:cs="Arial" w:eastAsia="Arial"/>
                <w:b/>
                <w:bCs/>
                <w:color w:val="0E1E3A"/>
                <w:sz w:val="18"/>
                <w:szCs w:val="18"/>
              </w:rPr>
              <w:t>SAR 50,428,718</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 MANAGER'S INVESTMENT TO FUND'S NET ASSET VALUE AS AT THE END OF THE REPORTING QUARTER</w:t>
            </w:r>
          </w:p>
        </w:tc>
        <w:tc>
          <w:tcPr>
            <w:tcW w:type="dxa" w:w="6860"/>
          </w:tcPr>
          <w:p>
            <w:pPr>
              <w:spacing w:before="0" w:after="0" w:line="276" w:lineRule="auto"/>
            </w:pPr>
            <w:r>
              <w:rPr>
                <w:rFonts w:ascii="Arial" w:hAnsi="Arial" w:cs="Arial" w:eastAsia="Arial"/>
                <w:b/>
                <w:bCs/>
                <w:color w:val="0E1E3A"/>
                <w:sz w:val="18"/>
                <w:szCs w:val="18"/>
              </w:rPr>
              <w:t>16.37%</w:t>
            </w:r>
          </w:p>
        </w:tc>
      </w:tr>
      <w:tr>
        <w:tc>
          <w:tcPr>
            <w:tcW w:type="dxa" w:w="3118"/>
            <w:shd w:val="clear" w:color="auto" w:fill="F3F6FB"/>
          </w:tcPr>
          <w:p>
            <w:pPr>
              <w:spacing w:before="0" w:after="0" w:line="276" w:lineRule="auto"/>
            </w:pPr>
            <w:r>
              <w:rPr>
                <w:rFonts w:ascii="Arial" w:hAnsi="Arial" w:cs="Arial" w:eastAsia="Arial"/>
                <w:color w:val="5A6478"/>
                <w:sz w:val="18"/>
                <w:szCs w:val="18"/>
              </w:rPr>
              <w:t>RISK LEVEL</w:t>
            </w:r>
          </w:p>
        </w:tc>
        <w:tc>
          <w:tcPr>
            <w:tcW w:type="dxa" w:w="6860"/>
          </w:tcPr>
          <w:p>
            <w:pPr>
              <w:spacing w:before="0" w:after="0" w:line="276" w:lineRule="auto"/>
            </w:pPr>
            <w:r>
              <w:rPr>
                <w:rFonts w:ascii="Arial" w:hAnsi="Arial" w:cs="Arial" w:eastAsia="Arial"/>
                <w:b/>
                <w:bCs/>
                <w:color w:val="0E1E3A"/>
                <w:sz w:val="18"/>
                <w:szCs w:val="18"/>
              </w:rPr>
              <w:t>High</w:t>
            </w:r>
          </w:p>
        </w:tc>
      </w:tr>
      <w:tr>
        <w:tc>
          <w:tcPr>
            <w:tcW w:type="dxa" w:w="3118"/>
            <w:shd w:val="clear" w:color="auto" w:fill="F3F6FB"/>
          </w:tcPr>
          <w:p>
            <w:pPr>
              <w:spacing w:before="0" w:after="0" w:line="276" w:lineRule="auto"/>
            </w:pPr>
            <w:r>
              <w:rPr>
                <w:rFonts w:ascii="Arial" w:hAnsi="Arial" w:cs="Arial" w:eastAsia="Arial"/>
                <w:color w:val="5A6478"/>
                <w:sz w:val="18"/>
                <w:szCs w:val="18"/>
              </w:rPr>
              <w:t>FUND CURRENCY</w:t>
            </w:r>
          </w:p>
        </w:tc>
        <w:tc>
          <w:tcPr>
            <w:tcW w:type="dxa" w:w="6860"/>
          </w:tcPr>
          <w:p>
            <w:pPr>
              <w:spacing w:before="0" w:after="0" w:line="276" w:lineRule="auto"/>
            </w:pPr>
            <w:r>
              <w:rPr>
                <w:rFonts w:ascii="Arial" w:hAnsi="Arial" w:cs="Arial" w:eastAsia="Arial"/>
                <w:b/>
                <w:bCs/>
                <w:color w:val="0E1E3A"/>
                <w:sz w:val="18"/>
                <w:szCs w:val="18"/>
              </w:rPr>
              <w:t>Saudi Arabian Riyal (SAR)</w:t>
            </w:r>
          </w:p>
        </w:tc>
      </w:tr>
      <w:tr>
        <w:tc>
          <w:tcPr>
            <w:tcW w:type="dxa" w:w="3118"/>
            <w:shd w:val="clear" w:color="auto" w:fill="F3F6FB"/>
          </w:tcPr>
          <w:p>
            <w:pPr>
              <w:spacing w:before="0" w:after="0" w:line="276" w:lineRule="auto"/>
            </w:pPr>
            <w:r>
              <w:rPr>
                <w:rFonts w:ascii="Arial" w:hAnsi="Arial" w:cs="Arial" w:eastAsia="Arial"/>
                <w:color w:val="5A6478"/>
                <w:sz w:val="18"/>
                <w:szCs w:val="18"/>
              </w:rPr>
              <w:t>INVESTMENT ADVISOR AND FUND SUB-MANAGER</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UNDERLYING FUNDS’ MANAGEMENT FEES</w:t>
            </w:r>
          </w:p>
        </w:tc>
        <w:tc>
          <w:tcPr>
            <w:tcW w:type="dxa" w:w="6860"/>
          </w:tcPr>
          <w:p>
            <w:pPr>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DAYS WEIGHTED AVERAGE</w:t>
            </w:r>
          </w:p>
        </w:tc>
        <w:tc>
          <w:tcPr>
            <w:tcW w:type="dxa" w:w="6860"/>
          </w:tcPr>
          <w:p>
            <w:pPr>
              <w:spacing w:before="0" w:after="0" w:line="276" w:lineRule="auto"/>
            </w:pPr>
            <w:r>
              <w:rPr>
                <w:rFonts w:ascii="Arial" w:hAnsi="Arial" w:cs="Arial" w:eastAsia="Arial"/>
                <w:b/>
                <w:bCs/>
                <w:color w:val="0E1E3A"/>
                <w:sz w:val="18"/>
                <w:szCs w:val="18"/>
              </w:rPr>
              <w:t>92 Days</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2024 (Unaudited).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4" name="Picture 900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PORTFOLIO INVESTMENT CONCENTRATION RATIOS *</w:t>
      </w:r>
    </w:p>
    <w:p>
      <w:pPr>
        <w:spacing w:before="0" w:after="80" w:line="240" w:lineRule="auto"/>
        <w:jc w:val="center"/>
      </w:pPr>
      <w:r>
        <w:drawing>
          <wp:inline xmlns:a="http://schemas.openxmlformats.org/drawingml/2006/main" xmlns:pic="http://schemas.openxmlformats.org/drawingml/2006/picture">
            <wp:extent cx="6336000" cy="1836108"/>
            <wp:docPr id="5" name="Picture 9005"/>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836108"/>
                    </a:xfrm>
                    <a:prstGeom prst="rect"/>
                  </pic:spPr>
                </pic:pic>
              </a:graphicData>
            </a:graphic>
          </wp:inline>
        </w:drawing>
      </w:r>
    </w:p>
    <w:p>
      <w:pPr>
        <w:spacing w:before="0" w:after="80" w:line="312" w:lineRule="auto"/>
      </w:pPr>
      <w:r>
        <w:rPr>
          <w:rFonts w:ascii="Arial" w:hAnsi="Arial" w:cs="Arial" w:eastAsia="Arial"/>
          <w:color w:val="5A6478"/>
          <w:sz w:val="17"/>
          <w:szCs w:val="17"/>
        </w:rPr>
        <w:t>The average term of Fund investments is 1.6 years.</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6" name="Picture 900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FINANCIAL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VALUATION FREQUENCY</w:t>
            </w:r>
          </w:p>
        </w:tc>
        <w:tc>
          <w:tcPr>
            <w:tcW w:type="dxa" w:w="6860"/>
          </w:tcPr>
          <w:p>
            <w:pPr>
              <w:spacing w:before="0" w:after="0" w:line="276" w:lineRule="auto"/>
            </w:pPr>
            <w:r>
              <w:rPr>
                <w:rFonts w:ascii="Arial" w:hAnsi="Arial" w:cs="Arial" w:eastAsia="Arial"/>
                <w:b/>
                <w:bCs/>
                <w:color w:val="0E1E3A"/>
                <w:sz w:val="18"/>
                <w:szCs w:val="18"/>
              </w:rPr>
              <w:t>Semi-annually</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ASSET VALUE</w:t>
            </w:r>
          </w:p>
        </w:tc>
        <w:tc>
          <w:tcPr>
            <w:tcW w:type="dxa" w:w="6860"/>
          </w:tcPr>
          <w:p>
            <w:pPr>
              <w:spacing w:before="0" w:after="0" w:line="276" w:lineRule="auto"/>
            </w:pPr>
            <w:r>
              <w:rPr>
                <w:rFonts w:ascii="Arial" w:hAnsi="Arial" w:cs="Arial" w:eastAsia="Arial"/>
                <w:b/>
                <w:bCs/>
                <w:color w:val="0E1E3A"/>
                <w:sz w:val="18"/>
                <w:szCs w:val="18"/>
              </w:rPr>
              <w:t>SAR 308,970,652</w:t>
            </w:r>
          </w:p>
        </w:tc>
      </w:tr>
      <w:tr>
        <w:tc>
          <w:tcPr>
            <w:tcW w:type="dxa" w:w="3118"/>
            <w:shd w:val="clear" w:color="auto" w:fill="F3F6FB"/>
          </w:tcPr>
          <w:p>
            <w:pPr>
              <w:spacing w:before="0" w:after="0" w:line="276" w:lineRule="auto"/>
            </w:pPr>
            <w:r>
              <w:rPr>
                <w:rFonts w:ascii="Arial" w:hAnsi="Arial" w:cs="Arial" w:eastAsia="Arial"/>
                <w:color w:val="5A6478"/>
                <w:sz w:val="18"/>
                <w:szCs w:val="18"/>
              </w:rPr>
              <w:t>FUND UNITS’ NET ASSET VALUE</w:t>
            </w:r>
          </w:p>
        </w:tc>
        <w:tc>
          <w:tcPr>
            <w:tcW w:type="dxa" w:w="6860"/>
          </w:tcPr>
          <w:p>
            <w:pPr>
              <w:spacing w:before="0" w:after="0" w:line="276" w:lineRule="auto"/>
            </w:pPr>
            <w:r>
              <w:rPr>
                <w:rFonts w:ascii="Arial" w:hAnsi="Arial" w:cs="Arial" w:eastAsia="Arial"/>
                <w:b/>
                <w:bCs/>
                <w:color w:val="0E1E3A"/>
                <w:sz w:val="18"/>
                <w:szCs w:val="18"/>
              </w:rPr>
              <w:t>SAR 308,075,442</w:t>
            </w:r>
          </w:p>
        </w:tc>
      </w:tr>
      <w:tr>
        <w:tc>
          <w:tcPr>
            <w:tcW w:type="dxa" w:w="3118"/>
            <w:shd w:val="clear" w:color="auto" w:fill="F3F6FB"/>
          </w:tcPr>
          <w:p>
            <w:pPr>
              <w:spacing w:before="0" w:after="0" w:line="276" w:lineRule="auto"/>
            </w:pPr>
            <w:r>
              <w:rPr>
                <w:rFonts w:ascii="Arial" w:hAnsi="Arial" w:cs="Arial" w:eastAsia="Arial"/>
                <w:color w:val="5A6478"/>
                <w:sz w:val="18"/>
                <w:szCs w:val="18"/>
              </w:rPr>
              <w:t>AMOUNT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DEALING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TRANSACTION EXPENSES FOR THE REPORTING QUARTER TO FUND'S AVERAGE NET ASSET VALUE</w:t>
            </w:r>
          </w:p>
        </w:tc>
        <w:tc>
          <w:tcPr>
            <w:tcW w:type="dxa" w:w="6860"/>
          </w:tcPr>
          <w:p>
            <w:pPr>
              <w:spacing w:before="0" w:after="0" w:line="276" w:lineRule="auto"/>
            </w:pPr>
            <w:r>
              <w:rPr>
                <w:rFonts w:ascii="Arial" w:hAnsi="Arial" w:cs="Arial" w:eastAsia="Arial"/>
                <w:b/>
                <w:bCs/>
                <w:color w:val="0E1E3A"/>
                <w:sz w:val="18"/>
                <w:szCs w:val="18"/>
              </w:rPr>
              <w:t>N/A</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EXPENSES AND FEES TO FUND’S TOTAL ASSET VALUE</w:t>
            </w:r>
          </w:p>
        </w:tc>
        <w:tc>
          <w:tcPr>
            <w:tcW w:type="dxa" w:w="6860"/>
          </w:tcPr>
          <w:p>
            <w:pPr>
              <w:spacing w:before="0" w:after="0" w:line="276" w:lineRule="auto"/>
            </w:pPr>
            <w:r>
              <w:rPr>
                <w:rFonts w:ascii="Arial" w:hAnsi="Arial" w:cs="Arial" w:eastAsia="Arial"/>
                <w:b/>
                <w:bCs/>
                <w:color w:val="0E1E3A"/>
                <w:sz w:val="18"/>
                <w:szCs w:val="18"/>
              </w:rPr>
              <w:t>0.42%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TOTAL ASSET VALUE</w:t>
            </w:r>
          </w:p>
        </w:tc>
        <w:tc>
          <w:tcPr>
            <w:tcW w:type="dxa" w:w="6860"/>
          </w:tcPr>
          <w:p>
            <w:pPr>
              <w:spacing w:before="0" w:after="0" w:line="276" w:lineRule="auto"/>
            </w:pPr>
            <w:r>
              <w:rPr>
                <w:rFonts w:ascii="Arial" w:hAnsi="Arial" w:cs="Arial" w:eastAsia="Arial"/>
                <w:b/>
                <w:bCs/>
                <w:color w:val="0E1E3A"/>
                <w:sz w:val="18"/>
                <w:szCs w:val="18"/>
              </w:rPr>
              <w:t>0.42%</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FUND’S TOTAL COSTS TO FUND’S AVERAGE NET ASSET VALUE</w:t>
            </w:r>
          </w:p>
        </w:tc>
        <w:tc>
          <w:tcPr>
            <w:tcW w:type="dxa" w:w="6860"/>
          </w:tcPr>
          <w:p>
            <w:pPr>
              <w:spacing w:before="0" w:after="0" w:line="276" w:lineRule="auto"/>
            </w:pPr>
            <w:r>
              <w:rPr>
                <w:rFonts w:ascii="Arial" w:hAnsi="Arial" w:cs="Arial" w:eastAsia="Arial"/>
                <w:b/>
                <w:bCs/>
                <w:color w:val="0E1E3A"/>
                <w:sz w:val="18"/>
                <w:szCs w:val="18"/>
              </w:rPr>
              <w:t>0.42%</w:t>
            </w:r>
          </w:p>
        </w:tc>
      </w:tr>
      <w:tr>
        <w:tc>
          <w:tcPr>
            <w:tcW w:type="dxa" w:w="3118"/>
            <w:shd w:val="clear" w:color="auto" w:fill="F3F6FB"/>
          </w:tcPr>
          <w:p>
            <w:pPr>
              <w:spacing w:before="0" w:after="0" w:line="276" w:lineRule="auto"/>
            </w:pPr>
            <w:r>
              <w:rPr>
                <w:rFonts w:ascii="Arial" w:hAnsi="Arial" w:cs="Arial" w:eastAsia="Arial"/>
                <w:color w:val="5A6478"/>
                <w:sz w:val="18"/>
                <w:szCs w:val="18"/>
              </w:rPr>
              <w:t>FUND'S TOTAL COSTS FOR THE REPORTING QUARTER</w:t>
            </w:r>
          </w:p>
        </w:tc>
        <w:tc>
          <w:tcPr>
            <w:tcW w:type="dxa" w:w="6860"/>
          </w:tcPr>
          <w:p>
            <w:pPr>
              <w:spacing w:before="0" w:after="0" w:line="276" w:lineRule="auto"/>
            </w:pPr>
            <w:r>
              <w:rPr>
                <w:rFonts w:ascii="Arial" w:hAnsi="Arial" w:cs="Arial" w:eastAsia="Arial"/>
                <w:b/>
                <w:bCs/>
                <w:color w:val="0E1E3A"/>
                <w:sz w:val="18"/>
                <w:szCs w:val="18"/>
              </w:rPr>
              <w:t>SAR 1,290,387</w:t>
            </w:r>
          </w:p>
        </w:tc>
      </w:tr>
    </w:tbl>
    <w:p>
      <w:pPr>
        <w:spacing w:before="0" w:after="40" w:line="300" w:lineRule="auto"/>
      </w:pPr>
    </w:p>
    <w:p>
      <w:pPr>
        <w:spacing w:before="0" w:after="80" w:line="312" w:lineRule="auto"/>
      </w:pPr>
      <w:r>
        <w:rPr>
          <w:rFonts w:ascii="Arial" w:hAnsi="Arial" w:cs="Arial" w:eastAsia="Arial"/>
          <w:color w:val="5A6478"/>
          <w:sz w:val="17"/>
          <w:szCs w:val="17"/>
        </w:rPr>
        <w:t>* As of 30 September 2024 (Unaudited).</w:t>
      </w:r>
      <w:r>
        <w:br/>
      </w:r>
      <w:r>
        <w:rPr>
          <w:rFonts w:ascii="Arial" w:hAnsi="Arial" w:cs="Arial" w:eastAsia="Arial"/>
          <w:color w:val="5A6478"/>
          <w:sz w:val="17"/>
          <w:szCs w:val="17"/>
        </w:rPr>
        <w:t>** Fund expenses and fees are all Fund expenses during the reporting quarter, excluding financing costs.</w:t>
      </w:r>
      <w:r>
        <w:br/>
      </w:r>
      <w:r>
        <w:rPr>
          <w:rFonts w:ascii="Arial" w:hAnsi="Arial" w:cs="Arial" w:eastAsia="Arial"/>
          <w:color w:val="5A6478"/>
          <w:sz w:val="17"/>
          <w:szCs w:val="17"/>
        </w:rPr>
        <w:t>*** Fund total costs are all Fund fees and expenses, including financing costs.</w:t>
      </w:r>
      <w:r>
        <w:br/>
      </w:r>
      <w:r>
        <w:rPr>
          <w:rFonts w:ascii="Arial" w:hAnsi="Arial" w:cs="Arial" w:eastAsia="Arial"/>
          <w:color w:val="5A6478"/>
          <w:sz w:val="17"/>
          <w:szCs w:val="17"/>
        </w:rPr>
        <w:t>**** Fund average NAV for the reporting period = SAR 306,765,896</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7" name="Picture 900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DISTRIBUTION OF INVESTMENTS BY GEOGRAPHY</w:t>
      </w:r>
    </w:p>
    <w:p>
      <w:pPr>
        <w:spacing w:before="0" w:after="80" w:line="240" w:lineRule="auto"/>
        <w:jc w:val="center"/>
      </w:pPr>
      <w:r>
        <w:drawing>
          <wp:inline xmlns:a="http://schemas.openxmlformats.org/drawingml/2006/main" xmlns:pic="http://schemas.openxmlformats.org/drawingml/2006/picture">
            <wp:extent cx="6336000" cy="1836108"/>
            <wp:docPr id="8" name="Picture 9008"/>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3610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9" name="Picture 900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LARGEST TEN INVESTMENTS IN THE FUND</w:t>
      </w:r>
    </w:p>
    <w:p>
      <w:pPr>
        <w:spacing w:before="0" w:after="80" w:line="240" w:lineRule="auto"/>
        <w:jc w:val="center"/>
      </w:pPr>
      <w:r>
        <w:drawing>
          <wp:inline xmlns:a="http://schemas.openxmlformats.org/drawingml/2006/main" xmlns:pic="http://schemas.openxmlformats.org/drawingml/2006/picture">
            <wp:extent cx="6336000" cy="2549622"/>
            <wp:docPr id="10" name="Picture 9010"/>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2549622"/>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1" name="Picture 901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ASSETS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ASSET BACKED DEBTS PORTFOLIO TOTAL VALUE</w:t>
            </w:r>
          </w:p>
        </w:tc>
        <w:tc>
          <w:tcPr>
            <w:tcW w:type="dxa" w:w="6860"/>
          </w:tcPr>
          <w:p>
            <w:pPr>
              <w:spacing w:before="0" w:after="0" w:line="276" w:lineRule="auto"/>
            </w:pPr>
            <w:r>
              <w:rPr>
                <w:rFonts w:ascii="Arial" w:hAnsi="Arial" w:cs="Arial" w:eastAsia="Arial"/>
                <w:b/>
                <w:bCs/>
                <w:color w:val="0E1E3A"/>
                <w:sz w:val="18"/>
                <w:szCs w:val="18"/>
              </w:rPr>
              <w:t>SAR 58,307,789</w:t>
            </w:r>
          </w:p>
        </w:tc>
      </w:tr>
      <w:tr>
        <w:tc>
          <w:tcPr>
            <w:tcW w:type="dxa" w:w="3118"/>
            <w:shd w:val="clear" w:color="auto" w:fill="F3F6FB"/>
          </w:tcPr>
          <w:p>
            <w:pPr>
              <w:spacing w:before="0" w:after="0" w:line="276" w:lineRule="auto"/>
            </w:pPr>
            <w:r>
              <w:rPr>
                <w:rFonts w:ascii="Arial" w:hAnsi="Arial" w:cs="Arial" w:eastAsia="Arial"/>
                <w:color w:val="5A6478"/>
                <w:sz w:val="18"/>
                <w:szCs w:val="18"/>
              </w:rPr>
              <w:t>TRADE FINANCE PORTFOLIO TOTAL VALUE</w:t>
            </w:r>
          </w:p>
        </w:tc>
        <w:tc>
          <w:tcPr>
            <w:tcW w:type="dxa" w:w="6860"/>
          </w:tcPr>
          <w:p>
            <w:pPr>
              <w:spacing w:before="0" w:after="0" w:line="276" w:lineRule="auto"/>
            </w:pPr>
            <w:r>
              <w:rPr>
                <w:rFonts w:ascii="Arial" w:hAnsi="Arial" w:cs="Arial" w:eastAsia="Arial"/>
                <w:b/>
                <w:bCs/>
                <w:color w:val="0E1E3A"/>
                <w:sz w:val="18"/>
                <w:szCs w:val="18"/>
              </w:rPr>
              <w:t>SAR 88,954,789</w:t>
            </w:r>
          </w:p>
        </w:tc>
      </w:tr>
      <w:tr>
        <w:tc>
          <w:tcPr>
            <w:tcW w:type="dxa" w:w="3118"/>
            <w:shd w:val="clear" w:color="auto" w:fill="F3F6FB"/>
          </w:tcPr>
          <w:p>
            <w:pPr>
              <w:spacing w:before="0" w:after="0" w:line="276" w:lineRule="auto"/>
            </w:pPr>
            <w:r>
              <w:rPr>
                <w:rFonts w:ascii="Arial" w:hAnsi="Arial" w:cs="Arial" w:eastAsia="Arial"/>
                <w:color w:val="5A6478"/>
                <w:sz w:val="18"/>
                <w:szCs w:val="18"/>
              </w:rPr>
              <w:t>STRUCTURED INCOME PORTFOLIO TOTAL VALUE</w:t>
            </w:r>
          </w:p>
        </w:tc>
        <w:tc>
          <w:tcPr>
            <w:tcW w:type="dxa" w:w="6860"/>
          </w:tcPr>
          <w:p>
            <w:pPr>
              <w:spacing w:before="0" w:after="0" w:line="276" w:lineRule="auto"/>
            </w:pPr>
            <w:r>
              <w:rPr>
                <w:rFonts w:ascii="Arial" w:hAnsi="Arial" w:cs="Arial" w:eastAsia="Arial"/>
                <w:b/>
                <w:bCs/>
                <w:color w:val="0E1E3A"/>
                <w:sz w:val="18"/>
                <w:szCs w:val="18"/>
              </w:rPr>
              <w:t>SAR 121,477,515</w:t>
            </w:r>
          </w:p>
        </w:tc>
      </w:tr>
      <w:tr>
        <w:tc>
          <w:tcPr>
            <w:tcW w:type="dxa" w:w="3118"/>
            <w:shd w:val="clear" w:color="auto" w:fill="F3F6FB"/>
          </w:tcPr>
          <w:p>
            <w:pPr>
              <w:spacing w:before="0" w:after="0" w:line="276" w:lineRule="auto"/>
            </w:pPr>
            <w:r>
              <w:rPr>
                <w:rFonts w:ascii="Arial" w:hAnsi="Arial" w:cs="Arial" w:eastAsia="Arial"/>
                <w:color w:val="5A6478"/>
                <w:sz w:val="18"/>
                <w:szCs w:val="18"/>
              </w:rPr>
              <w:t>TOTAL CASH AND CASH EQUIVALENT</w:t>
            </w:r>
          </w:p>
        </w:tc>
        <w:tc>
          <w:tcPr>
            <w:tcW w:type="dxa" w:w="6860"/>
          </w:tcPr>
          <w:p>
            <w:pPr>
              <w:spacing w:before="0" w:after="0" w:line="276" w:lineRule="auto"/>
            </w:pPr>
            <w:r>
              <w:rPr>
                <w:rFonts w:ascii="Arial" w:hAnsi="Arial" w:cs="Arial" w:eastAsia="Arial"/>
                <w:b/>
                <w:bCs/>
                <w:color w:val="0E1E3A"/>
                <w:sz w:val="18"/>
                <w:szCs w:val="18"/>
              </w:rPr>
              <w:t>SAR 40,230,599</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2" name="Picture 901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MARKET VALUE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AS AT THE LISTING DATE</w:t>
            </w:r>
          </w:p>
        </w:tc>
        <w:tc>
          <w:tcPr>
            <w:tcW w:type="dxa" w:w="6860"/>
          </w:tcPr>
          <w:p>
            <w:pPr>
              <w:spacing w:before="0" w:after="0" w:line="276" w:lineRule="auto"/>
            </w:pPr>
            <w:r>
              <w:rPr>
                <w:rFonts w:ascii="Arial" w:hAnsi="Arial" w:cs="Arial" w:eastAsia="Arial"/>
                <w:b/>
                <w:bCs/>
                <w:color w:val="0E1E3A"/>
                <w:sz w:val="18"/>
                <w:szCs w:val="18"/>
              </w:rPr>
              <w:t>SAR 305,456,350</w:t>
            </w:r>
          </w:p>
        </w:tc>
      </w:tr>
      <w:tr>
        <w:tc>
          <w:tcPr>
            <w:tcW w:type="dxa" w:w="3118"/>
            <w:shd w:val="clear" w:color="auto" w:fill="F3F6FB"/>
          </w:tcPr>
          <w:p>
            <w:pPr>
              <w:spacing w:before="0" w:after="0" w:line="276" w:lineRule="auto"/>
            </w:pPr>
            <w:r>
              <w:rPr>
                <w:rFonts w:ascii="Arial" w:hAnsi="Arial" w:cs="Arial" w:eastAsia="Arial"/>
                <w:color w:val="5A6478"/>
                <w:sz w:val="18"/>
                <w:szCs w:val="18"/>
              </w:rPr>
              <w:t>AS AT 30 SEPTEMBER 2024</w:t>
            </w:r>
          </w:p>
        </w:tc>
        <w:tc>
          <w:tcPr>
            <w:tcW w:type="dxa" w:w="6860"/>
          </w:tcPr>
          <w:p>
            <w:pPr>
              <w:spacing w:before="0" w:after="0" w:line="276" w:lineRule="auto"/>
            </w:pPr>
            <w:r>
              <w:rPr>
                <w:rFonts w:ascii="Arial" w:hAnsi="Arial" w:cs="Arial" w:eastAsia="Arial"/>
                <w:b/>
                <w:bCs/>
                <w:color w:val="0E1E3A"/>
                <w:sz w:val="18"/>
                <w:szCs w:val="18"/>
              </w:rPr>
              <w:t>SAR 227,564,981</w:t>
            </w:r>
          </w:p>
        </w:tc>
      </w:tr>
    </w:tbl>
    <w:p>
      <w:pPr>
        <w:spacing w:before="0" w:after="40" w:line="300" w:lineRule="auto"/>
      </w:pPr>
    </w:p>
    <w:p>
      <w:pPr>
        <w:spacing w:before="0" w:after="80" w:line="312" w:lineRule="auto"/>
      </w:pPr>
      <w:r>
        <w:rPr>
          <w:rFonts w:ascii="Arial" w:hAnsi="Arial" w:cs="Arial" w:eastAsia="Arial"/>
          <w:color w:val="5A6478"/>
          <w:sz w:val="17"/>
          <w:szCs w:val="17"/>
        </w:rPr>
        <w:t>* Based on the Unit Price.</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3" name="Picture 9013"/>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NET ASSET VALUE AND UNIT PRICE PERFORMANCE*</w:t>
      </w:r>
    </w:p>
    <w:p>
      <w:pPr>
        <w:spacing w:before="0" w:after="80" w:line="240" w:lineRule="auto"/>
        <w:jc w:val="center"/>
      </w:pPr>
      <w:r>
        <w:drawing>
          <wp:inline xmlns:a="http://schemas.openxmlformats.org/drawingml/2006/main" xmlns:pic="http://schemas.openxmlformats.org/drawingml/2006/picture">
            <wp:extent cx="6336000" cy="2977730"/>
            <wp:docPr id="14" name="Picture 9014"/>
            <wp:cNvGraphicFramePr>
              <a:graphicFrameLocks noChangeAspect="1"/>
            </wp:cNvGraphicFramePr>
            <a:graphic>
              <a:graphicData uri="http://schemas.openxmlformats.org/drawingml/2006/picture">
                <pic:pic>
                  <pic:nvPicPr>
                    <pic:cNvPr id="0" name="x5.j.jpg"/>
                    <pic:cNvPicPr/>
                  </pic:nvPicPr>
                  <pic:blipFill>
                    <a:blip r:embed="rId20"/>
                    <a:stretch>
                      <a:fillRect/>
                    </a:stretch>
                  </pic:blipFill>
                  <pic:spPr>
                    <a:xfrm>
                      <a:off x="0" y="0"/>
                      <a:ext cx="6336000" cy="2977730"/>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5" name="Picture 901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UNITS INFORMATION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UNIT PRICE AS AT THE END OF Q3 (30 SEPTEMBER 2024)</w:t>
            </w:r>
          </w:p>
        </w:tc>
        <w:tc>
          <w:tcPr>
            <w:tcW w:type="dxa" w:w="6860"/>
          </w:tcPr>
          <w:p>
            <w:pPr>
              <w:spacing w:before="0" w:after="0" w:line="276" w:lineRule="auto"/>
            </w:pPr>
            <w:r>
              <w:rPr>
                <w:rFonts w:ascii="Arial" w:hAnsi="Arial" w:cs="Arial" w:eastAsia="Arial"/>
                <w:b/>
                <w:bCs/>
                <w:color w:val="0E1E3A"/>
                <w:sz w:val="18"/>
                <w:szCs w:val="18"/>
              </w:rPr>
              <w:t>SAR 7.45</w:t>
            </w:r>
          </w:p>
        </w:tc>
      </w:tr>
      <w:tr>
        <w:tc>
          <w:tcPr>
            <w:tcW w:type="dxa" w:w="3118"/>
            <w:shd w:val="clear" w:color="auto" w:fill="F3F6FB"/>
          </w:tcPr>
          <w:p>
            <w:pPr>
              <w:spacing w:before="0" w:after="0" w:line="276" w:lineRule="auto"/>
            </w:pPr>
            <w:r>
              <w:rPr>
                <w:rFonts w:ascii="Arial" w:hAnsi="Arial" w:cs="Arial" w:eastAsia="Arial"/>
                <w:color w:val="5A6478"/>
                <w:sz w:val="18"/>
                <w:szCs w:val="18"/>
              </w:rPr>
              <w:t>CHANGE IN UNIT PRICE COMPARED TO THE PREVIOUS QUARTER*</w:t>
            </w:r>
          </w:p>
        </w:tc>
        <w:tc>
          <w:tcPr>
            <w:tcW w:type="dxa" w:w="6860"/>
          </w:tcPr>
          <w:p>
            <w:pPr>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LISTING DATE (FROM THE LISTING DATE TO END Q3 2024)</w:t>
            </w:r>
          </w:p>
        </w:tc>
        <w:tc>
          <w:tcPr>
            <w:tcW w:type="dxa" w:w="6860"/>
          </w:tcPr>
          <w:p>
            <w:pPr>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spacing w:before="0" w:after="0" w:line="276" w:lineRule="auto"/>
            </w:pPr>
            <w:r>
              <w:rPr>
                <w:rFonts w:ascii="Arial" w:hAnsi="Arial" w:cs="Arial" w:eastAsia="Arial"/>
                <w:color w:val="5A6478"/>
                <w:sz w:val="18"/>
                <w:szCs w:val="18"/>
              </w:rPr>
              <w:t>52-WEEK HIGH</w:t>
            </w:r>
          </w:p>
        </w:tc>
        <w:tc>
          <w:tcPr>
            <w:tcW w:type="dxa" w:w="6860"/>
          </w:tcPr>
          <w:p>
            <w:pPr>
              <w:spacing w:before="0" w:after="0" w:line="276" w:lineRule="auto"/>
            </w:pPr>
            <w:r>
              <w:rPr>
                <w:rFonts w:ascii="Arial" w:hAnsi="Arial" w:cs="Arial" w:eastAsia="Arial"/>
                <w:b/>
                <w:bCs/>
                <w:color w:val="0E1E3A"/>
                <w:sz w:val="18"/>
                <w:szCs w:val="18"/>
              </w:rPr>
              <w:t>SAR 10.00</w:t>
            </w:r>
          </w:p>
        </w:tc>
      </w:tr>
      <w:tr>
        <w:tc>
          <w:tcPr>
            <w:tcW w:type="dxa" w:w="3118"/>
            <w:shd w:val="clear" w:color="auto" w:fill="F3F6FB"/>
          </w:tcPr>
          <w:p>
            <w:pPr>
              <w:spacing w:before="0" w:after="0" w:line="276" w:lineRule="auto"/>
            </w:pPr>
            <w:r>
              <w:rPr>
                <w:rFonts w:ascii="Arial" w:hAnsi="Arial" w:cs="Arial" w:eastAsia="Arial"/>
                <w:color w:val="5A6478"/>
                <w:sz w:val="18"/>
                <w:szCs w:val="18"/>
              </w:rPr>
              <w:t>52-WEEK LOW</w:t>
            </w:r>
          </w:p>
        </w:tc>
        <w:tc>
          <w:tcPr>
            <w:tcW w:type="dxa" w:w="6860"/>
          </w:tcPr>
          <w:p>
            <w:pPr>
              <w:spacing w:before="0" w:after="0" w:line="276" w:lineRule="auto"/>
            </w:pPr>
            <w:r>
              <w:rPr>
                <w:rFonts w:ascii="Arial" w:hAnsi="Arial" w:cs="Arial" w:eastAsia="Arial"/>
                <w:b/>
                <w:bCs/>
                <w:color w:val="0E1E3A"/>
                <w:sz w:val="18"/>
                <w:szCs w:val="18"/>
              </w:rPr>
              <w:t>SAR 7.01</w:t>
            </w:r>
          </w:p>
        </w:tc>
      </w:tr>
      <w:tr>
        <w:tc>
          <w:tcPr>
            <w:tcW w:type="dxa" w:w="3118"/>
            <w:shd w:val="clear" w:color="auto" w:fill="F3F6FB"/>
          </w:tcPr>
          <w:p>
            <w:pPr>
              <w:spacing w:before="0" w:after="0" w:line="276" w:lineRule="auto"/>
            </w:pPr>
            <w:r>
              <w:rPr>
                <w:rFonts w:ascii="Arial" w:hAnsi="Arial" w:cs="Arial" w:eastAsia="Arial"/>
                <w:color w:val="5A6478"/>
                <w:sz w:val="18"/>
                <w:szCs w:val="18"/>
              </w:rPr>
              <w:t>NUMBER OF OUTSTANDING UNITS</w:t>
            </w:r>
          </w:p>
        </w:tc>
        <w:tc>
          <w:tcPr>
            <w:tcW w:type="dxa" w:w="6860"/>
          </w:tcPr>
          <w:p>
            <w:pPr>
              <w:spacing w:before="0" w:after="0" w:line="276" w:lineRule="auto"/>
            </w:pPr>
            <w:r>
              <w:rPr>
                <w:rFonts w:ascii="Arial" w:hAnsi="Arial" w:cs="Arial" w:eastAsia="Arial"/>
                <w:b/>
                <w:bCs/>
                <w:color w:val="0E1E3A"/>
                <w:sz w:val="18"/>
                <w:szCs w:val="18"/>
              </w:rPr>
              <w:t>30,545,635 Units</w:t>
            </w:r>
          </w:p>
        </w:tc>
      </w:tr>
      <w:tr>
        <w:tc>
          <w:tcPr>
            <w:tcW w:type="dxa" w:w="3118"/>
            <w:shd w:val="clear" w:color="auto" w:fill="F3F6FB"/>
          </w:tcPr>
          <w:p>
            <w:pPr>
              <w:spacing w:before="0" w:after="0" w:line="276" w:lineRule="auto"/>
            </w:pPr>
            <w:r>
              <w:rPr>
                <w:rFonts w:ascii="Arial" w:hAnsi="Arial" w:cs="Arial" w:eastAsia="Arial"/>
                <w:color w:val="5A6478"/>
                <w:sz w:val="18"/>
                <w:szCs w:val="18"/>
              </w:rPr>
              <w:t>P/E RATIO</w:t>
            </w:r>
          </w:p>
        </w:tc>
        <w:tc>
          <w:tcPr>
            <w:tcW w:type="dxa" w:w="6860"/>
          </w:tcPr>
          <w:p>
            <w:pPr>
              <w:spacing w:before="0" w:after="0" w:line="276" w:lineRule="auto"/>
            </w:pPr>
            <w:r>
              <w:rPr>
                <w:rFonts w:ascii="Arial" w:hAnsi="Arial" w:cs="Arial" w:eastAsia="Arial"/>
                <w:b/>
                <w:bCs/>
                <w:color w:val="0E1E3A"/>
                <w:sz w:val="18"/>
                <w:szCs w:val="18"/>
              </w:rPr>
              <w:t>N/A</w:t>
            </w:r>
          </w:p>
        </w:tc>
      </w:tr>
    </w:tbl>
    <w:p>
      <w:pPr>
        <w:spacing w:before="0" w:after="40" w:line="300" w:lineRule="auto"/>
      </w:pPr>
    </w:p>
    <w:p>
      <w:pPr>
        <w:spacing w:before="0" w:after="80" w:line="312" w:lineRule="auto"/>
      </w:pPr>
      <w:r>
        <w:rPr>
          <w:rFonts w:ascii="Arial" w:hAnsi="Arial" w:cs="Arial" w:eastAsia="Arial"/>
          <w:color w:val="5A6478"/>
          <w:sz w:val="17"/>
          <w:szCs w:val="17"/>
        </w:rPr>
        <w:t>* Unit Price as at the Listing Date 17 July 2024 = SAR 10.00.</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6" name="Picture 9016"/>
            <wp:cNvGraphicFramePr>
              <a:graphicFrameLocks noChangeAspect="1"/>
            </wp:cNvGraphicFramePr>
            <a:graphic>
              <a:graphicData uri="http://schemas.openxmlformats.org/drawingml/2006/picture">
                <pic:pic>
                  <pic:nvPicPr>
                    <pic:cNvPr id="0" name="ico_737e94dc9d8d67dbf235ae564951a5f7.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DIVIDEND DISTRIBUTION</w:t>
      </w:r>
    </w:p>
    <w:p>
      <w:pPr>
        <w:pStyle w:val="Heading3"/>
        <w:keepNext/>
        <w:spacing w:before="160" w:after="100" w:line="300" w:lineRule="auto"/>
      </w:pPr>
      <w:r>
        <w:rPr>
          <w:rFonts w:ascii="Arial" w:hAnsi="Arial" w:cs="Arial" w:eastAsia="Arial"/>
          <w:b/>
          <w:bCs/>
          <w:color w:val="12284B"/>
          <w:sz w:val="22"/>
          <w:szCs w:val="22"/>
        </w:rPr>
        <w:t>DIVIDEND DISTRIBUTION POLICY</w:t>
      </w:r>
    </w:p>
    <w:p>
      <w:pPr>
        <w:spacing w:before="0" w:after="80" w:line="312" w:lineRule="auto"/>
      </w:pPr>
      <w:r>
        <w:rPr>
          <w:rFonts w:ascii="Arial" w:hAnsi="Arial" w:cs="Arial" w:eastAsia="Arial"/>
          <w:color w:val="0E1E3A"/>
          <w:sz w:val="20"/>
          <w:szCs w:val="20"/>
        </w:rPr>
        <w:t>The Fund Manager will distribute dividends (if any) within 40 business days after the date of issue of the semi-annual and annual financial statements for each Gregorian year. Dividend distributions (if any) will be announced within ten business days after the date of issue of the semi-annual and annual financial statements. Details of cash distributions will be announced on Saudi Tadawul’s website, with the exception of capital gains resulting from the sale of underlying assets, which may be reinvested in other assets or distributed in whole or in part at the Fund Manager’s discretion. The Fund Manager may distribute the returns on the Fund’s investments, after deducting expenses and provisions, to Unitholders more than twice per year at the Fund Manager’s discretion.</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TOTAL DIVIDENDS PAID IN THE REPORTING QUARTER*</w:t>
            </w:r>
          </w:p>
        </w:tc>
        <w:tc>
          <w:tcPr>
            <w:tcW w:type="dxa" w:w="6860"/>
          </w:tcPr>
          <w:p>
            <w:pPr>
              <w:spacing w:before="0" w:after="0" w:line="276" w:lineRule="auto"/>
            </w:pPr>
            <w:r>
              <w:rPr>
                <w:rFonts w:ascii="Arial" w:hAnsi="Arial" w:cs="Arial" w:eastAsia="Arial"/>
                <w:b/>
                <w:bCs/>
                <w:color w:val="0E1E3A"/>
                <w:sz w:val="18"/>
                <w:szCs w:val="18"/>
              </w:rPr>
              <w:t>SAR 0.00</w:t>
            </w:r>
          </w:p>
        </w:tc>
      </w:tr>
      <w:tr>
        <w:tc>
          <w:tcPr>
            <w:tcW w:type="dxa" w:w="3118"/>
            <w:shd w:val="clear" w:color="auto" w:fill="F3F6FB"/>
          </w:tcPr>
          <w:p>
            <w:pPr>
              <w:spacing w:before="0" w:after="0" w:line="276" w:lineRule="auto"/>
            </w:pPr>
            <w:r>
              <w:rPr>
                <w:rFonts w:ascii="Arial" w:hAnsi="Arial" w:cs="Arial" w:eastAsia="Arial"/>
                <w:color w:val="5A6478"/>
                <w:sz w:val="18"/>
                <w:szCs w:val="18"/>
              </w:rPr>
              <w:t>TOTAL DIVIDENDS DISTRIBUTED FOR THE LAST SEMI-ANNUAL PERIOD</w:t>
            </w:r>
          </w:p>
        </w:tc>
        <w:tc>
          <w:tcPr>
            <w:tcW w:type="dxa" w:w="6860"/>
          </w:tcPr>
          <w:p>
            <w:pPr>
              <w:spacing w:before="0" w:after="0" w:line="276" w:lineRule="auto"/>
            </w:pPr>
            <w:r>
              <w:rPr>
                <w:rFonts w:ascii="Arial" w:hAnsi="Arial" w:cs="Arial" w:eastAsia="Arial"/>
                <w:b/>
                <w:bCs/>
                <w:color w:val="0E1E3A"/>
                <w:sz w:val="18"/>
                <w:szCs w:val="18"/>
              </w:rPr>
              <w:t>SAR -</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FOR THE LAST SEMI-ANNUAL PERIOD PER UNIT</w:t>
            </w:r>
          </w:p>
        </w:tc>
        <w:tc>
          <w:tcPr>
            <w:tcW w:type="dxa" w:w="6860"/>
          </w:tcPr>
          <w:p>
            <w:pPr>
              <w:spacing w:before="0" w:after="0" w:line="276" w:lineRule="auto"/>
            </w:pPr>
            <w:r>
              <w:rPr>
                <w:rFonts w:ascii="Arial" w:hAnsi="Arial" w:cs="Arial" w:eastAsia="Arial"/>
                <w:b/>
                <w:bCs/>
                <w:color w:val="0E1E3A"/>
                <w:sz w:val="18"/>
                <w:szCs w:val="18"/>
              </w:rPr>
              <w:t>SAR -</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DIVIDENDS DISTRIBUTED IN THE REPORTING QUARTER TO THE INITIAL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DIVIDENDS DISTRIBUTED ON UNIT PRICE</w:t>
            </w:r>
          </w:p>
        </w:tc>
        <w:tc>
          <w:tcPr>
            <w:tcW w:type="dxa" w:w="6860"/>
          </w:tcPr>
          <w:p>
            <w:pPr>
              <w:spacing w:before="0" w:after="0" w:line="276" w:lineRule="auto"/>
            </w:pPr>
            <w:r>
              <w:rPr>
                <w:rFonts w:ascii="Arial" w:hAnsi="Arial" w:cs="Arial" w:eastAsia="Arial"/>
                <w:b/>
                <w:bCs/>
                <w:color w:val="0E1E3A"/>
                <w:sz w:val="18"/>
                <w:szCs w:val="18"/>
              </w:rPr>
              <w:t>-</w:t>
            </w:r>
          </w:p>
        </w:tc>
      </w:tr>
      <w:tr>
        <w:tc>
          <w:tcPr>
            <w:tcW w:type="dxa" w:w="3118"/>
            <w:shd w:val="clear" w:color="auto" w:fill="F3F6FB"/>
          </w:tcPr>
          <w:p>
            <w:pPr>
              <w:spacing w:before="0" w:after="0" w:line="276" w:lineRule="auto"/>
            </w:pPr>
            <w:r>
              <w:rPr>
                <w:rFonts w:ascii="Arial" w:hAnsi="Arial" w:cs="Arial" w:eastAsia="Arial"/>
                <w:color w:val="5A6478"/>
                <w:sz w:val="18"/>
                <w:szCs w:val="18"/>
              </w:rPr>
              <w:t>TOTAL INCOME FOR THE REPORTING QUARTER*</w:t>
            </w:r>
          </w:p>
        </w:tc>
        <w:tc>
          <w:tcPr>
            <w:tcW w:type="dxa" w:w="6860"/>
          </w:tcPr>
          <w:p>
            <w:pPr>
              <w:spacing w:before="0" w:after="0" w:line="276" w:lineRule="auto"/>
            </w:pPr>
            <w:r>
              <w:rPr>
                <w:rFonts w:ascii="Arial" w:hAnsi="Arial" w:cs="Arial" w:eastAsia="Arial"/>
                <w:b/>
                <w:bCs/>
                <w:color w:val="0E1E3A"/>
                <w:sz w:val="18"/>
                <w:szCs w:val="18"/>
              </w:rPr>
              <w:t>SAR 3,909,480</w:t>
            </w:r>
          </w:p>
        </w:tc>
      </w:tr>
      <w:tr>
        <w:tc>
          <w:tcPr>
            <w:tcW w:type="dxa" w:w="3118"/>
            <w:shd w:val="clear" w:color="auto" w:fill="F3F6FB"/>
          </w:tcPr>
          <w:p>
            <w:pPr>
              <w:spacing w:before="0" w:after="0" w:line="276" w:lineRule="auto"/>
            </w:pPr>
            <w:r>
              <w:rPr>
                <w:rFonts w:ascii="Arial" w:hAnsi="Arial" w:cs="Arial" w:eastAsia="Arial"/>
                <w:color w:val="5A6478"/>
                <w:sz w:val="18"/>
                <w:szCs w:val="18"/>
              </w:rPr>
              <w:t>RATIO OF TOTAL INCOME FOR THE REPORTING QUARTER TO THE UNIT PRICE (30 SEPTEMBER 2024)</w:t>
            </w:r>
          </w:p>
        </w:tc>
        <w:tc>
          <w:tcPr>
            <w:tcW w:type="dxa" w:w="6860"/>
          </w:tcPr>
          <w:p>
            <w:pPr>
              <w:spacing w:before="0" w:after="0" w:line="276" w:lineRule="auto"/>
            </w:pPr>
            <w:r>
              <w:rPr>
                <w:rFonts w:ascii="Arial" w:hAnsi="Arial" w:cs="Arial" w:eastAsia="Arial"/>
                <w:b/>
                <w:bCs/>
                <w:color w:val="0E1E3A"/>
                <w:sz w:val="18"/>
                <w:szCs w:val="18"/>
              </w:rPr>
              <w:t>1.72%</w:t>
            </w:r>
          </w:p>
        </w:tc>
      </w:tr>
    </w:tbl>
    <w:p>
      <w:pPr>
        <w:spacing w:before="0" w:after="40" w:line="300" w:lineRule="auto"/>
      </w:pPr>
    </w:p>
    <w:p>
      <w:pPr>
        <w:spacing w:before="0" w:after="80" w:line="312" w:lineRule="auto"/>
      </w:pPr>
      <w:r>
        <w:rPr>
          <w:rFonts w:ascii="Arial" w:hAnsi="Arial" w:cs="Arial" w:eastAsia="Arial"/>
          <w:color w:val="5A6478"/>
          <w:sz w:val="17"/>
          <w:szCs w:val="17"/>
        </w:rPr>
        <w:t>* From the listing date of 17 July 2024 to 30 September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7" name="Picture 9017"/>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PERFORMANCE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spacing w:before="0" w:after="0" w:line="276" w:lineRule="auto"/>
            </w:pPr>
            <w:r>
              <w:rPr>
                <w:rFonts w:ascii="Arial" w:hAnsi="Arial" w:cs="Arial" w:eastAsia="Arial"/>
                <w:color w:val="5A6478"/>
                <w:sz w:val="18"/>
                <w:szCs w:val="18"/>
              </w:rPr>
              <w:t>BENCHMARK</w:t>
            </w:r>
          </w:p>
        </w:tc>
        <w:tc>
          <w:tcPr>
            <w:tcW w:type="dxa" w:w="6860"/>
          </w:tcPr>
          <w:p>
            <w:pPr>
              <w:spacing w:before="0" w:after="0" w:line="276" w:lineRule="auto"/>
            </w:pPr>
            <w:r>
              <w:rPr>
                <w:rFonts w:ascii="Arial" w:hAnsi="Arial" w:cs="Arial" w:eastAsia="Arial"/>
                <w:b/>
                <w:bCs/>
                <w:color w:val="0E1E3A"/>
                <w:sz w:val="18"/>
                <w:szCs w:val="18"/>
              </w:rPr>
              <w:t>The Benchmark is a composite index comprised of 70% of the Yield of the Dow Jones Sukuk Index + 30% of the Secured Overnight Financing Rate for three months (SOFR 3M), which is a Shari’a compliant index.</w:t>
            </w:r>
          </w:p>
        </w:tc>
      </w:tr>
      <w:tr>
        <w:tc>
          <w:tcPr>
            <w:tcW w:type="dxa" w:w="3118"/>
            <w:shd w:val="clear" w:color="auto" w:fill="F3F6FB"/>
          </w:tcPr>
          <w:p>
            <w:pPr>
              <w:spacing w:before="0" w:after="0" w:line="276" w:lineRule="auto"/>
            </w:pPr>
            <w:r>
              <w:rPr>
                <w:rFonts w:ascii="Arial" w:hAnsi="Arial" w:cs="Arial" w:eastAsia="Arial"/>
                <w:color w:val="5A6478"/>
                <w:sz w:val="18"/>
                <w:szCs w:val="18"/>
              </w:rPr>
              <w:t>INITIAL UNIT PRICE (AT THE INITIAL OFFERING*)</w:t>
            </w:r>
          </w:p>
        </w:tc>
        <w:tc>
          <w:tcPr>
            <w:tcW w:type="dxa" w:w="6860"/>
          </w:tcPr>
          <w:p>
            <w:pPr>
              <w:spacing w:before="0" w:after="0" w:line="276" w:lineRule="auto"/>
            </w:pPr>
            <w:r>
              <w:rPr>
                <w:rFonts w:ascii="Arial" w:hAnsi="Arial" w:cs="Arial" w:eastAsia="Arial"/>
                <w:b/>
                <w:bCs/>
                <w:color w:val="0E1E3A"/>
                <w:sz w:val="18"/>
                <w:szCs w:val="18"/>
              </w:rPr>
              <w:t>SAR 10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PREVIOUS PERIOD*</w:t>
            </w:r>
          </w:p>
        </w:tc>
        <w:tc>
          <w:tcPr>
            <w:tcW w:type="dxa" w:w="6860"/>
          </w:tcPr>
          <w:p>
            <w:pPr>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spacing w:before="0" w:after="0" w:line="276" w:lineRule="auto"/>
            </w:pPr>
            <w:r>
              <w:rPr>
                <w:rFonts w:ascii="Arial" w:hAnsi="Arial" w:cs="Arial" w:eastAsia="Arial"/>
                <w:color w:val="5A6478"/>
                <w:sz w:val="18"/>
                <w:szCs w:val="18"/>
              </w:rPr>
              <w:t>UNIT PRICE PERFORMANCE SINCE THE DATE OF INCEPTION*</w:t>
            </w:r>
          </w:p>
        </w:tc>
        <w:tc>
          <w:tcPr>
            <w:tcW w:type="dxa" w:w="6860"/>
          </w:tcPr>
          <w:p>
            <w:pPr>
              <w:spacing w:before="0" w:after="0" w:line="276" w:lineRule="auto"/>
            </w:pPr>
            <w:r>
              <w:rPr>
                <w:rFonts w:ascii="Arial" w:hAnsi="Arial" w:cs="Arial" w:eastAsia="Arial"/>
                <w:b/>
                <w:bCs/>
                <w:color w:val="0E1E3A"/>
                <w:sz w:val="18"/>
                <w:szCs w:val="18"/>
              </w:rPr>
              <w:t>-25.50%</w:t>
            </w:r>
          </w:p>
        </w:tc>
      </w:tr>
      <w:tr>
        <w:tc>
          <w:tcPr>
            <w:tcW w:type="dxa" w:w="3118"/>
            <w:shd w:val="clear" w:color="auto" w:fill="F3F6FB"/>
          </w:tcPr>
          <w:p>
            <w:pPr>
              <w:spacing w:before="0" w:after="0" w:line="276" w:lineRule="auto"/>
            </w:pPr>
            <w:r>
              <w:rPr>
                <w:rFonts w:ascii="Arial" w:hAnsi="Arial" w:cs="Arial" w:eastAsia="Arial"/>
                <w:color w:val="5A6478"/>
                <w:sz w:val="18"/>
                <w:szCs w:val="18"/>
              </w:rPr>
              <w:t>TOTAL RETURN SINCE THE DATE OF INCEPTION*</w:t>
            </w:r>
          </w:p>
        </w:tc>
        <w:tc>
          <w:tcPr>
            <w:tcW w:type="dxa" w:w="6860"/>
          </w:tcPr>
          <w:p>
            <w:pPr>
              <w:spacing w:before="0" w:after="0" w:line="276" w:lineRule="auto"/>
            </w:pPr>
            <w:r>
              <w:rPr>
                <w:rFonts w:ascii="Arial" w:hAnsi="Arial" w:cs="Arial" w:eastAsia="Arial"/>
                <w:b/>
                <w:bCs/>
                <w:color w:val="0E1E3A"/>
                <w:sz w:val="18"/>
                <w:szCs w:val="18"/>
              </w:rPr>
              <w:t>-25.50%</w:t>
            </w:r>
          </w:p>
        </w:tc>
      </w:tr>
    </w:tbl>
    <w:p>
      <w:pPr>
        <w:spacing w:before="0" w:after="40" w:line="300" w:lineRule="auto"/>
      </w:pPr>
    </w:p>
    <w:p>
      <w:pPr>
        <w:spacing w:before="0" w:after="80" w:line="312" w:lineRule="auto"/>
      </w:pPr>
      <w:r>
        <w:rPr>
          <w:rFonts w:ascii="Arial" w:hAnsi="Arial" w:cs="Arial" w:eastAsia="Arial"/>
          <w:color w:val="5A6478"/>
          <w:sz w:val="17"/>
          <w:szCs w:val="17"/>
        </w:rPr>
        <w:t>* From the listing date of 17 July 2024 to 30 September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8" name="Picture 901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DESCRIPTION OF THE FUND’S BENCHMARK</w:t>
      </w:r>
    </w:p>
    <w:p>
      <w:pPr>
        <w:spacing w:before="0" w:after="80" w:line="312" w:lineRule="auto"/>
      </w:pPr>
      <w:r>
        <w:rPr>
          <w:rFonts w:ascii="Arial" w:hAnsi="Arial" w:cs="Arial" w:eastAsia="Arial"/>
          <w:color w:val="0E1E3A"/>
          <w:sz w:val="20"/>
          <w:szCs w:val="20"/>
        </w:rPr>
        <w:t>The Fund’s Benchmark is a composite index comprised of 70% of the yield of the Dow Jones Sukuk Index + 30% of the Secured Overnight Financing Rate for three months (SOFR 3M) whish is a Shari’a compliant index.</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19" name="Picture 9019"/>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ASSESSMENT CRITERIA AND INDICATORS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spacing w:before="0" w:after="0" w:line="264" w:lineRule="auto"/>
            </w:pPr>
          </w:p>
        </w:tc>
        <w:tc>
          <w:tcPr>
            <w:tcW w:type="dxa" w:w="3326"/>
            <w:shd w:val="clear" w:color="auto" w:fill="12284B"/>
          </w:tcPr>
          <w:p>
            <w:pPr>
              <w:spacing w:before="0" w:after="0" w:line="264" w:lineRule="auto"/>
            </w:pPr>
            <w:r>
              <w:rPr>
                <w:rFonts w:ascii="Arial" w:hAnsi="Arial" w:cs="Arial" w:eastAsia="Arial"/>
                <w:b/>
                <w:bCs/>
                <w:color w:val="FFFFFF"/>
                <w:sz w:val="17"/>
                <w:szCs w:val="17"/>
              </w:rPr>
              <w:t>ALKHABEER INCOME FUND</w:t>
            </w:r>
          </w:p>
        </w:tc>
        <w:tc>
          <w:tcPr>
            <w:tcW w:type="dxa" w:w="3326"/>
            <w:shd w:val="clear" w:color="auto" w:fill="12284B"/>
          </w:tcPr>
          <w:p>
            <w:pPr>
              <w:spacing w:before="0" w:after="0" w:line="264" w:lineRule="auto"/>
            </w:pPr>
          </w:p>
        </w:tc>
      </w:tr>
      <w:tr>
        <w:tc>
          <w:tcPr>
            <w:tcW w:type="dxa" w:w="3326"/>
          </w:tcPr>
          <w:p>
            <w:pPr>
              <w:spacing w:before="0" w:after="0" w:line="264" w:lineRule="auto"/>
            </w:pPr>
            <w:r>
              <w:rPr>
                <w:rFonts w:ascii="Arial" w:hAnsi="Arial" w:cs="Arial" w:eastAsia="Arial"/>
                <w:color w:val="0E1E3A"/>
                <w:sz w:val="17"/>
                <w:szCs w:val="17"/>
              </w:rPr>
              <w:t>NET ASSET VALUE PER UNIT AS AT THE BEGINNING OF THE PERIOD</w:t>
            </w:r>
          </w:p>
        </w:tc>
        <w:tc>
          <w:tcPr>
            <w:tcW w:type="dxa" w:w="3326"/>
          </w:tcPr>
          <w:p>
            <w:pPr>
              <w:spacing w:before="0" w:after="0" w:line="264" w:lineRule="auto"/>
            </w:pPr>
            <w:r>
              <w:rPr>
                <w:rFonts w:ascii="Arial" w:hAnsi="Arial" w:cs="Arial" w:eastAsia="Arial"/>
                <w:color w:val="0E1E3A"/>
                <w:sz w:val="17"/>
                <w:szCs w:val="17"/>
              </w:rPr>
              <w:t>10.0000</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NET ASSET VALUE PER UNIT AS AT THE END OF THE PERIOD**</w:t>
            </w:r>
          </w:p>
        </w:tc>
        <w:tc>
          <w:tcPr>
            <w:tcW w:type="dxa" w:w="3326"/>
          </w:tcPr>
          <w:p>
            <w:pPr>
              <w:spacing w:before="0" w:after="0" w:line="264" w:lineRule="auto"/>
            </w:pPr>
            <w:r>
              <w:rPr>
                <w:rFonts w:ascii="Arial" w:hAnsi="Arial" w:cs="Arial" w:eastAsia="Arial"/>
                <w:color w:val="0E1E3A"/>
                <w:sz w:val="17"/>
                <w:szCs w:val="17"/>
              </w:rPr>
              <w:t>10.0857</w:t>
            </w:r>
          </w:p>
        </w:tc>
        <w:tc>
          <w:tcPr>
            <w:tcW w:type="dxa" w:w="3326"/>
          </w:tcPr>
          <w:p>
            <w:pPr>
              <w:spacing w:before="0" w:after="0" w:line="264" w:lineRule="auto"/>
            </w:pPr>
            <w:r>
              <w:rPr>
                <w:rFonts w:ascii="Arial" w:hAnsi="Arial" w:cs="Arial" w:eastAsia="Arial"/>
                <w:color w:val="0E1E3A"/>
                <w:sz w:val="17"/>
                <w:szCs w:val="17"/>
              </w:rPr>
              <w:t>N/A</w:t>
            </w:r>
          </w:p>
        </w:tc>
      </w:tr>
      <w:tr>
        <w:tc>
          <w:tcPr>
            <w:tcW w:type="dxa" w:w="3326"/>
          </w:tcPr>
          <w:p>
            <w:pPr>
              <w:spacing w:before="0" w:after="0" w:line="264" w:lineRule="auto"/>
            </w:pPr>
            <w:r>
              <w:rPr>
                <w:rFonts w:ascii="Arial" w:hAnsi="Arial" w:cs="Arial" w:eastAsia="Arial"/>
                <w:color w:val="0E1E3A"/>
                <w:sz w:val="17"/>
                <w:szCs w:val="17"/>
              </w:rPr>
              <w:t>UNIT PERFORMANCE</w:t>
            </w:r>
          </w:p>
        </w:tc>
        <w:tc>
          <w:tcPr>
            <w:tcW w:type="dxa" w:w="3326"/>
          </w:tcPr>
          <w:p>
            <w:pPr>
              <w:spacing w:before="0" w:after="0" w:line="264" w:lineRule="auto"/>
            </w:pPr>
            <w:r>
              <w:rPr>
                <w:rFonts w:ascii="Arial" w:hAnsi="Arial" w:cs="Arial" w:eastAsia="Arial"/>
                <w:color w:val="0E1E3A"/>
                <w:sz w:val="17"/>
                <w:szCs w:val="17"/>
              </w:rPr>
              <w:t>0.86%</w:t>
            </w:r>
          </w:p>
        </w:tc>
        <w:tc>
          <w:tcPr>
            <w:tcW w:type="dxa" w:w="3326"/>
          </w:tcPr>
          <w:p>
            <w:pPr>
              <w:spacing w:before="0" w:after="0" w:line="264" w:lineRule="auto"/>
            </w:pPr>
            <w:r>
              <w:rPr>
                <w:rFonts w:ascii="Arial" w:hAnsi="Arial" w:cs="Arial" w:eastAsia="Arial"/>
                <w:color w:val="0E1E3A"/>
                <w:sz w:val="17"/>
                <w:szCs w:val="17"/>
              </w:rPr>
              <w:t>1.03%</w:t>
            </w:r>
          </w:p>
        </w:tc>
      </w:tr>
    </w:tbl>
    <w:p>
      <w:pPr>
        <w:spacing w:before="0" w:after="40" w:line="300" w:lineRule="auto"/>
      </w:pPr>
    </w:p>
    <w:p>
      <w:pPr>
        <w:spacing w:before="0" w:after="80" w:line="312" w:lineRule="auto"/>
      </w:pPr>
      <w:r>
        <w:rPr>
          <w:rFonts w:ascii="Arial" w:hAnsi="Arial" w:cs="Arial" w:eastAsia="Arial"/>
          <w:color w:val="5A6478"/>
          <w:sz w:val="17"/>
          <w:szCs w:val="17"/>
        </w:rPr>
        <w:t>* As at the listing date of 17 July 2024.</w:t>
      </w:r>
      <w:r>
        <w:br/>
      </w:r>
      <w:r>
        <w:rPr>
          <w:rFonts w:ascii="Arial" w:hAnsi="Arial" w:cs="Arial" w:eastAsia="Arial"/>
          <w:color w:val="5A6478"/>
          <w:sz w:val="17"/>
          <w:szCs w:val="17"/>
        </w:rPr>
        <w:t>** As at 30 September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0" name="Picture 902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OWNERSHIP OF FUND INVESTMENTS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spacing w:before="0" w:after="0" w:line="264" w:lineRule="auto"/>
            </w:pPr>
            <w:r>
              <w:rPr>
                <w:rFonts w:ascii="Arial" w:hAnsi="Arial" w:cs="Arial" w:eastAsia="Arial"/>
                <w:b/>
                <w:bCs/>
                <w:color w:val="FFFFFF"/>
                <w:sz w:val="17"/>
                <w:szCs w:val="17"/>
              </w:rPr>
              <w:t>OWNERSHIP</w:t>
            </w:r>
          </w:p>
        </w:tc>
        <w:tc>
          <w:tcPr>
            <w:tcW w:type="dxa" w:w="4989"/>
            <w:shd w:val="clear" w:color="auto" w:fill="12284B"/>
          </w:tcPr>
          <w:p>
            <w:pPr>
              <w:spacing w:before="0" w:after="0" w:line="264" w:lineRule="auto"/>
            </w:pPr>
            <w:r>
              <w:rPr>
                <w:rFonts w:ascii="Arial" w:hAnsi="Arial" w:cs="Arial" w:eastAsia="Arial"/>
                <w:b/>
                <w:bCs/>
                <w:color w:val="FFFFFF"/>
                <w:sz w:val="17"/>
                <w:szCs w:val="17"/>
              </w:rPr>
              <w:t>PERCENTAGE (%)</w:t>
            </w:r>
          </w:p>
        </w:tc>
      </w:tr>
      <w:tr>
        <w:tc>
          <w:tcPr>
            <w:tcW w:type="dxa" w:w="4989"/>
          </w:tcPr>
          <w:p>
            <w:pPr>
              <w:spacing w:before="0" w:after="0" w:line="264" w:lineRule="auto"/>
            </w:pPr>
            <w:r>
              <w:rPr>
                <w:rFonts w:ascii="Arial" w:hAnsi="Arial" w:cs="Arial" w:eastAsia="Arial"/>
                <w:color w:val="0E1E3A"/>
                <w:sz w:val="17"/>
                <w:szCs w:val="17"/>
              </w:rPr>
              <w:t>FREEHOLD</w:t>
            </w:r>
          </w:p>
        </w:tc>
        <w:tc>
          <w:tcPr>
            <w:tcW w:type="dxa" w:w="4989"/>
          </w:tcPr>
          <w:p>
            <w:pPr>
              <w:spacing w:before="0" w:after="0" w:line="264" w:lineRule="auto"/>
            </w:pPr>
            <w:r>
              <w:rPr>
                <w:rFonts w:ascii="Arial" w:hAnsi="Arial" w:cs="Arial" w:eastAsia="Arial"/>
                <w:color w:val="0E1E3A"/>
                <w:sz w:val="17"/>
                <w:szCs w:val="17"/>
              </w:rPr>
              <w:t>100%</w:t>
            </w:r>
          </w:p>
        </w:tc>
      </w:tr>
      <w:tr>
        <w:tc>
          <w:tcPr>
            <w:tcW w:type="dxa" w:w="4989"/>
          </w:tcPr>
          <w:p>
            <w:pPr>
              <w:spacing w:before="0" w:after="0" w:line="264" w:lineRule="auto"/>
            </w:pPr>
            <w:r>
              <w:rPr>
                <w:rFonts w:ascii="Arial" w:hAnsi="Arial" w:cs="Arial" w:eastAsia="Arial"/>
                <w:color w:val="0E1E3A"/>
                <w:sz w:val="17"/>
                <w:szCs w:val="17"/>
              </w:rPr>
              <w:t>LEASEHOLD</w:t>
            </w:r>
          </w:p>
        </w:tc>
        <w:tc>
          <w:tcPr>
            <w:tcW w:type="dxa" w:w="4989"/>
          </w:tcPr>
          <w:p>
            <w:pPr>
              <w:spacing w:before="0" w:after="0" w:line="264" w:lineRule="auto"/>
            </w:pPr>
            <w:r>
              <w:rPr>
                <w:rFonts w:ascii="Arial" w:hAnsi="Arial" w:cs="Arial" w:eastAsia="Arial"/>
                <w:color w:val="0E1E3A"/>
                <w:sz w:val="17"/>
                <w:szCs w:val="17"/>
              </w:rPr>
              <w:t>0%</w:t>
            </w:r>
          </w:p>
        </w:tc>
      </w:tr>
    </w:tbl>
    <w:p>
      <w:pPr>
        <w:spacing w:before="0" w:after="40" w:line="300" w:lineRule="auto"/>
      </w:pP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1" name="Picture 9021"/>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RETURNS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ITEM</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TOTAL RETURN/NAV PER UNIT "FUND PERFORMANCE"</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BENCHMARK PERFORMANCE</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PERFORMANCE SPREAD</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2" name="Picture 9022"/>
            <wp:cNvGraphicFramePr>
              <a:graphicFrameLocks noChangeAspect="1"/>
            </wp:cNvGraphicFramePr>
            <a:graphic>
              <a:graphicData uri="http://schemas.openxmlformats.org/drawingml/2006/picture">
                <pic:pic>
                  <pic:nvPicPr>
                    <pic:cNvPr id="0" name="ico_47bcec02f49b9d1a764a57a70a5c8310.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AND RISKS</w:t>
      </w:r>
    </w:p>
    <w:tbl>
      <w:tblPr>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spacing w:before="0" w:after="0" w:line="264" w:lineRule="auto"/>
            </w:pPr>
            <w:r>
              <w:rPr>
                <w:rFonts w:ascii="Arial" w:hAnsi="Arial" w:cs="Arial" w:eastAsia="Arial"/>
                <w:b/>
                <w:bCs/>
                <w:color w:val="FFFFFF"/>
                <w:sz w:val="17"/>
                <w:szCs w:val="17"/>
              </w:rPr>
              <w:t>PERFORMANCE AND RISKS CRITERIA</w:t>
            </w:r>
          </w:p>
        </w:tc>
        <w:tc>
          <w:tcPr>
            <w:tcW w:type="dxa" w:w="1663"/>
            <w:shd w:val="clear" w:color="auto" w:fill="12284B"/>
          </w:tcPr>
          <w:p>
            <w:pPr>
              <w:spacing w:before="0" w:after="0" w:line="264" w:lineRule="auto"/>
            </w:pPr>
            <w:r>
              <w:rPr>
                <w:rFonts w:ascii="Arial" w:hAnsi="Arial" w:cs="Arial" w:eastAsia="Arial"/>
                <w:b/>
                <w:bCs/>
                <w:color w:val="FFFFFF"/>
                <w:sz w:val="17"/>
                <w:szCs w:val="17"/>
              </w:rPr>
              <w:t>3 MONTHS</w:t>
            </w:r>
          </w:p>
        </w:tc>
        <w:tc>
          <w:tcPr>
            <w:tcW w:type="dxa" w:w="1663"/>
            <w:shd w:val="clear" w:color="auto" w:fill="12284B"/>
          </w:tcPr>
          <w:p>
            <w:pPr>
              <w:spacing w:before="0" w:after="0" w:line="264" w:lineRule="auto"/>
            </w:pPr>
            <w:r>
              <w:rPr>
                <w:rFonts w:ascii="Arial" w:hAnsi="Arial" w:cs="Arial" w:eastAsia="Arial"/>
                <w:b/>
                <w:bCs/>
                <w:color w:val="FFFFFF"/>
                <w:sz w:val="17"/>
                <w:szCs w:val="17"/>
              </w:rPr>
              <w:t>YEAR TO DATE</w:t>
            </w:r>
          </w:p>
        </w:tc>
        <w:tc>
          <w:tcPr>
            <w:tcW w:type="dxa" w:w="1663"/>
            <w:shd w:val="clear" w:color="auto" w:fill="12284B"/>
          </w:tcPr>
          <w:p>
            <w:pPr>
              <w:spacing w:before="0" w:after="0" w:line="264" w:lineRule="auto"/>
            </w:pPr>
            <w:r>
              <w:rPr>
                <w:rFonts w:ascii="Arial" w:hAnsi="Arial" w:cs="Arial" w:eastAsia="Arial"/>
                <w:b/>
                <w:bCs/>
                <w:color w:val="FFFFFF"/>
                <w:sz w:val="17"/>
                <w:szCs w:val="17"/>
              </w:rPr>
              <w:t>ONE YEAR</w:t>
            </w:r>
          </w:p>
        </w:tc>
        <w:tc>
          <w:tcPr>
            <w:tcW w:type="dxa" w:w="1663"/>
            <w:shd w:val="clear" w:color="auto" w:fill="12284B"/>
          </w:tcPr>
          <w:p>
            <w:pPr>
              <w:spacing w:before="0" w:after="0" w:line="264" w:lineRule="auto"/>
            </w:pPr>
            <w:r>
              <w:rPr>
                <w:rFonts w:ascii="Arial" w:hAnsi="Arial" w:cs="Arial" w:eastAsia="Arial"/>
                <w:b/>
                <w:bCs/>
                <w:color w:val="FFFFFF"/>
                <w:sz w:val="17"/>
                <w:szCs w:val="17"/>
              </w:rPr>
              <w:t>3 YEARS</w:t>
            </w:r>
          </w:p>
        </w:tc>
        <w:tc>
          <w:tcPr>
            <w:tcW w:type="dxa" w:w="1663"/>
            <w:shd w:val="clear" w:color="auto" w:fill="12284B"/>
          </w:tcPr>
          <w:p>
            <w:pPr>
              <w:spacing w:before="0" w:after="0" w:line="264" w:lineRule="auto"/>
            </w:pPr>
            <w:r>
              <w:rPr>
                <w:rFonts w:ascii="Arial" w:hAnsi="Arial" w:cs="Arial" w:eastAsia="Arial"/>
                <w:b/>
                <w:bCs/>
                <w:color w:val="FFFFFF"/>
                <w:sz w:val="17"/>
                <w:szCs w:val="17"/>
              </w:rPr>
              <w:t>5 YEARS</w:t>
            </w:r>
          </w:p>
        </w:tc>
      </w:tr>
      <w:tr>
        <w:tc>
          <w:tcPr>
            <w:tcW w:type="dxa" w:w="1663"/>
          </w:tcPr>
          <w:p>
            <w:pPr>
              <w:spacing w:before="0" w:after="0" w:line="264" w:lineRule="auto"/>
            </w:pPr>
            <w:r>
              <w:rPr>
                <w:rFonts w:ascii="Arial" w:hAnsi="Arial" w:cs="Arial" w:eastAsia="Arial"/>
                <w:color w:val="0E1E3A"/>
                <w:sz w:val="17"/>
                <w:szCs w:val="17"/>
              </w:rPr>
              <w:t>STANDARD DEVIATION</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SHARPE RATIO</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TRACKING ERROR</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BETA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ALPHA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r>
        <w:tc>
          <w:tcPr>
            <w:tcW w:type="dxa" w:w="1663"/>
          </w:tcPr>
          <w:p>
            <w:pPr>
              <w:spacing w:before="0" w:after="0" w:line="264" w:lineRule="auto"/>
            </w:pPr>
            <w:r>
              <w:rPr>
                <w:rFonts w:ascii="Arial" w:hAnsi="Arial" w:cs="Arial" w:eastAsia="Arial"/>
                <w:color w:val="0E1E3A"/>
                <w:sz w:val="17"/>
                <w:szCs w:val="17"/>
              </w:rPr>
              <w:t>INFORMATION RATIO</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c>
          <w:tcPr>
            <w:tcW w:type="dxa" w:w="1663"/>
          </w:tcPr>
          <w:p>
            <w:pPr>
              <w:spacing w:before="0" w:after="0" w:line="264" w:lineRule="auto"/>
            </w:pPr>
            <w:r>
              <w:rPr>
                <w:rFonts w:ascii="Arial" w:hAnsi="Arial" w:cs="Arial" w:eastAsia="Arial"/>
                <w:color w:val="0E1E3A"/>
                <w:sz w:val="17"/>
                <w:szCs w:val="17"/>
              </w:rPr>
              <w:t>N/A*</w:t>
            </w:r>
          </w:p>
        </w:tc>
      </w:tr>
    </w:tbl>
    <w:p>
      <w:pPr>
        <w:spacing w:before="0" w:after="40" w:line="300" w:lineRule="auto"/>
      </w:pPr>
    </w:p>
    <w:p>
      <w:pPr>
        <w:spacing w:before="0" w:after="80" w:line="312" w:lineRule="auto"/>
      </w:pPr>
      <w:r>
        <w:rPr>
          <w:rFonts w:ascii="Arial" w:hAnsi="Arial" w:cs="Arial" w:eastAsia="Arial"/>
          <w:color w:val="5A6478"/>
          <w:sz w:val="17"/>
          <w:szCs w:val="17"/>
        </w:rPr>
        <w:t>* Not applicable as at the listing date of 17 July 2024.</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3" name="Picture 9023"/>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FUND HIGHLIGHTS AND ANY FUNDAMENTAL OR NON-FUNDAMENTAL CHANGES AFFECTING THE PERFORMANCE OF THE FUND</w:t>
      </w:r>
    </w:p>
    <w:p>
      <w:pPr>
        <w:spacing w:before="0" w:after="80" w:line="312" w:lineRule="auto"/>
      </w:pPr>
      <w:r>
        <w:rPr>
          <w:rFonts w:ascii="Arial" w:hAnsi="Arial" w:cs="Arial" w:eastAsia="Arial"/>
          <w:color w:val="0E1E3A"/>
          <w:sz w:val="20"/>
          <w:szCs w:val="20"/>
        </w:rPr>
        <w:t>There were no fundamental or non-fundamental developments or changes affecting the performance of the Fund.</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4" name="Picture 9024"/>
            <wp:cNvGraphicFramePr>
              <a:graphicFrameLocks noChangeAspect="1"/>
            </wp:cNvGraphicFramePr>
            <a:graphic>
              <a:graphicData uri="http://schemas.openxmlformats.org/drawingml/2006/picture">
                <pic:pic>
                  <pic:nvPicPr>
                    <pic:cNvPr id="0" name="ico_a4c5ee8beea27f59442669cc4fdf4aa4.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PERFORMANCE OF THE UNIT PRICE TRADED ON THE EXCHANGE SINCE THE INCEPTION OF THE FUND</w:t>
      </w:r>
    </w:p>
    <w:p>
      <w:pPr>
        <w:spacing w:before="0" w:after="80" w:line="240" w:lineRule="auto"/>
        <w:jc w:val="center"/>
      </w:pPr>
      <w:r>
        <w:drawing>
          <wp:inline xmlns:a="http://schemas.openxmlformats.org/drawingml/2006/main" xmlns:pic="http://schemas.openxmlformats.org/drawingml/2006/picture">
            <wp:extent cx="6336000" cy="2730378"/>
            <wp:docPr id="25" name="Picture 9025"/>
            <wp:cNvGraphicFramePr>
              <a:graphicFrameLocks noChangeAspect="1"/>
            </wp:cNvGraphicFramePr>
            <a:graphic>
              <a:graphicData uri="http://schemas.openxmlformats.org/drawingml/2006/picture">
                <pic:pic>
                  <pic:nvPicPr>
                    <pic:cNvPr id="0" name="x6.j.jpg"/>
                    <pic:cNvPicPr/>
                  </pic:nvPicPr>
                  <pic:blipFill>
                    <a:blip r:embed="rId23"/>
                    <a:stretch>
                      <a:fillRect/>
                    </a:stretch>
                  </pic:blipFill>
                  <pic:spPr>
                    <a:xfrm>
                      <a:off x="0" y="0"/>
                      <a:ext cx="6336000" cy="2730378"/>
                    </a:xfrm>
                    <a:prstGeom prst="rect"/>
                  </pic:spPr>
                </pic:pic>
              </a:graphicData>
            </a:graphic>
          </wp:inline>
        </w:drawing>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6" name="Picture 9026"/>
            <wp:cNvGraphicFramePr>
              <a:graphicFrameLocks noChangeAspect="1"/>
            </wp:cNvGraphicFramePr>
            <a:graphic>
              <a:graphicData uri="http://schemas.openxmlformats.org/drawingml/2006/picture">
                <pic:pic>
                  <pic:nvPicPr>
                    <pic:cNvPr id="0" name="ico_8eba3796ad497c7a142d47da7c90fea0.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FOR FURTHER INFORMATION</w:t>
      </w:r>
    </w:p>
    <w:p>
      <w:pPr>
        <w:spacing w:before="0" w:after="80" w:line="312" w:lineRule="auto"/>
      </w:pPr>
      <w:r>
        <w:rPr>
          <w:rFonts w:ascii="Arial" w:hAnsi="Arial" w:cs="Arial" w:eastAsia="Arial"/>
          <w:color w:val="0E1E3A"/>
          <w:sz w:val="20"/>
          <w:szCs w:val="20"/>
        </w:rPr>
        <w:t>Alkhabeer Capital</w:t>
      </w:r>
      <w:r>
        <w:br/>
      </w:r>
      <w:r>
        <w:rPr>
          <w:rFonts w:ascii="Arial" w:hAnsi="Arial" w:cs="Arial" w:eastAsia="Arial"/>
          <w:color w:val="0E1E3A"/>
          <w:sz w:val="20"/>
          <w:szCs w:val="20"/>
        </w:rPr>
        <w:t>PO Box 128289, Jeddah 21362</w:t>
      </w:r>
      <w:r>
        <w:br/>
      </w:r>
      <w:r>
        <w:rPr>
          <w:rFonts w:ascii="Arial" w:hAnsi="Arial" w:cs="Arial" w:eastAsia="Arial"/>
          <w:color w:val="0E1E3A"/>
          <w:sz w:val="20"/>
          <w:szCs w:val="20"/>
        </w:rPr>
        <w:t>Kingdom of Saudi Arabia</w:t>
      </w:r>
      <w:r>
        <w:br/>
      </w:r>
      <w:r>
        <w:rPr>
          <w:rFonts w:ascii="Arial" w:hAnsi="Arial" w:cs="Arial" w:eastAsia="Arial"/>
          <w:color w:val="0E1E3A"/>
          <w:sz w:val="20"/>
          <w:szCs w:val="20"/>
        </w:rPr>
        <w:t xml:space="preserve">Tel: </w:t>
      </w:r>
      <w:r>
        <w:rPr>
          <w:rFonts w:ascii="Arial" w:hAnsi="Arial" w:cs="Arial" w:eastAsia="Arial"/>
          <w:color w:val="0E1E3A"/>
          <w:sz w:val="20"/>
          <w:szCs w:val="20"/>
        </w:rPr>
        <w:t>+966 12 658 8888</w:t>
      </w:r>
      <w:r>
        <w:br/>
      </w:r>
      <w:r>
        <w:rPr>
          <w:rFonts w:ascii="Arial" w:hAnsi="Arial" w:cs="Arial" w:eastAsia="Arial"/>
          <w:color w:val="0E1E3A"/>
          <w:sz w:val="20"/>
          <w:szCs w:val="20"/>
        </w:rPr>
        <w:t xml:space="preserve">Fax: </w:t>
      </w:r>
      <w:r>
        <w:rPr>
          <w:rFonts w:ascii="Arial" w:hAnsi="Arial" w:cs="Arial" w:eastAsia="Arial"/>
          <w:color w:val="0E1E3A"/>
          <w:sz w:val="20"/>
          <w:szCs w:val="20"/>
        </w:rPr>
        <w:t>+966 12 658 6663</w:t>
      </w:r>
      <w:r>
        <w:br/>
      </w:r>
      <w:r>
        <w:rPr>
          <w:rFonts w:ascii="Arial" w:hAnsi="Arial" w:cs="Arial" w:eastAsia="Arial"/>
          <w:color w:val="0E1E3A"/>
          <w:sz w:val="20"/>
          <w:szCs w:val="20"/>
        </w:rPr>
        <w:t>Email: info@alkhabeer.com</w:t>
      </w:r>
      <w:r>
        <w:br/>
      </w:r>
      <w:r>
        <w:rPr>
          <w:rFonts w:ascii="Arial" w:hAnsi="Arial" w:cs="Arial" w:eastAsia="Arial"/>
          <w:color w:val="0E1E3A"/>
          <w:sz w:val="20"/>
          <w:szCs w:val="20"/>
        </w:rPr>
        <w:t>CR No: 4030177445</w:t>
      </w:r>
      <w:r>
        <w:br/>
      </w:r>
      <w:r>
        <w:rPr>
          <w:rFonts w:ascii="Arial" w:hAnsi="Arial" w:cs="Arial" w:eastAsia="Arial"/>
          <w:color w:val="0E1E3A"/>
          <w:sz w:val="20"/>
          <w:szCs w:val="20"/>
        </w:rPr>
        <w:t>CMA License No: 07074-37</w:t>
      </w:r>
      <w:r>
        <w:br/>
      </w:r>
      <w:r>
        <w:rPr>
          <w:rFonts w:ascii="Arial" w:hAnsi="Arial" w:cs="Arial" w:eastAsia="Arial"/>
          <w:color w:val="0E1E3A"/>
          <w:sz w:val="20"/>
          <w:szCs w:val="20"/>
        </w:rPr>
        <w:t>www.alkhabeer.com</w:t>
      </w:r>
    </w:p>
    <w:p>
      <w:pPr>
        <w:pStyle w:val="Heading2"/>
        <w:keepNext/>
        <w:spacing w:before="160" w:after="100" w:line="300" w:lineRule="auto"/>
      </w:pPr>
      <w:r>
        <w:rPr>
          <w:position w:val="-4"/>
        </w:rPr>
        <w:drawing>
          <wp:inline xmlns:a="http://schemas.openxmlformats.org/drawingml/2006/main" xmlns:pic="http://schemas.openxmlformats.org/drawingml/2006/picture">
            <wp:extent cx="165600" cy="165600"/>
            <wp:docPr id="27" name="Picture 9027"/>
            <wp:cNvGraphicFramePr>
              <a:graphicFrameLocks noChangeAspect="1"/>
            </wp:cNvGraphicFramePr>
            <a:graphic>
              <a:graphicData uri="http://schemas.openxmlformats.org/drawingml/2006/picture">
                <pic:pic>
                  <pic:nvPicPr>
                    <pic:cNvPr id="0" name="ico_31799530e5dd3dc5b4ca7f2d37945432.png"/>
                    <pic:cNvPicPr/>
                  </pic:nvPicPr>
                  <pic:blipFill>
                    <a:blip r:embed="rId2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Pr>
        <w:t>DISCLAIMER</w:t>
      </w:r>
    </w:p>
    <w:p>
      <w:pPr>
        <w:spacing w:before="0" w:after="80" w:line="312" w:lineRule="auto"/>
      </w:pPr>
      <w:r>
        <w:rPr>
          <w:rFonts w:ascii="Arial" w:hAnsi="Arial" w:cs="Arial" w:eastAsia="Arial"/>
          <w:color w:val="5A6478"/>
          <w:sz w:val="17"/>
          <w:szCs w:val="17"/>
        </w:rPr>
        <w:t>This document does not constitute an offer to buy, subscribe or participate in any way in Alkhabeer Diversified Income Traded Fund, nor shall it (or any part of it) form the basis of, or be relied on, in connection with, or act as inducement to enter into any contract whatsoever. Prospective investors should read carefully Alkhabeer Diversified Income Traded Fund’s Terms and Conditions, and their contents related to investment risks, as well as other Alkhabeer Diversified Income Traded Fund documents prior to making any investment decision. Alkhabeer Diversified Income Traded Fund documents are available on Alkhabeer Capital’s website www.alkhabeer.com. This investment is not a cash deposit with a local bank. The value of the amount invested and any other income which may arise therefrom may increase or decrease. All prospective investors are required to make their own determination with their own financial and legal advisors and to evaluate all risks involved. No assurance can be given that the targeted and projected results will be achieved. Moreover, past performance of Alkhabeer Diversified Income Traded Fund is not a guarantee of the Fund’s future results. By investing in the Fund, the investor acknowledges having read and accepted Alkhabeer Diversified Income Traded Fund’s Terms and Conditions, The Fund Manager or any of its affiliates shall not be liable for any financial loss which may be suffered by the Fund, unless such loss is deliberately caused by the Fund Manager.</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pPr>
    <w:r/>
    <w:r>
      <w:rPr>
        <w:rFonts w:ascii="Arial" w:hAnsi="Arial" w:cs="Arial" w:eastAsia="Arial"/>
        <w:color w:val="5A6478"/>
        <w:sz w:val="15"/>
        <w:szCs w:val="15"/>
      </w:rPr>
      <w:t xml:space="preserve">Alkhabeer Capital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spacing w:before="0" w:after="0" w:line="240" w:lineRule="auto"/>
    </w:pPr>
    <w:r/>
    <w:r>
      <w:rPr>
        <w:rFonts w:ascii="Arial" w:hAnsi="Arial" w:cs="Arial" w:eastAsia="Arial"/>
        <w:color w:val="5A6478"/>
        <w:sz w:val="15"/>
        <w:szCs w:val="15"/>
      </w:rPr>
      <w:t>Quarterly Statement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Arial" w:hAnsi="Arial" w:cs="Arial" w:eastAsia="Arial"/>
      <w:b/>
      <w:bCs/>
      <w:color w:val="12284B"/>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Arial" w:hAnsi="Arial" w:cs="Arial" w:eastAsia="Arial"/>
      <w:b/>
      <w:bCs/>
      <w:color w:val="12284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Arial" w:hAnsi="Arial" w:cs="Arial" w:eastAsia="Arial"/>
      <w:b/>
      <w:bCs/>
      <w:color w:val="1228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jp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 Id="rId25"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Alkhabeer Diversified Income Traded Fund 2030 — Quarterly Statement Q3 2024</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