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03"/>
            <wp:cNvGraphicFramePr/>
            <a:graphic>
              <a:graphicData uri="http://schemas.openxmlformats.org/drawingml/2006/picture">
                <pic:pic>
                  <pic:nvPicPr>
                    <pic:cNvPr id="9003" name="banner9003.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04"/>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أ.</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هدف الصندوق:</w:t>
      </w:r>
    </w:p>
    <w:p>
      <w:pPr>
        <w:bidi w:val="1"/>
        <w:spacing w:before="0" w:after="80" w:line="312" w:lineRule="auto"/>
      </w:pPr>
      <w:r>
        <w:rPr>
          <w:rFonts w:ascii="Arial" w:hAnsi="Arial" w:cs="Arial" w:eastAsia="Arial"/>
          <w:color w:val="0E1E3A"/>
          <w:sz w:val="20"/>
          <w:szCs w:val="20"/>
          <w:rtl/>
        </w:rPr>
        <w:t>يتمثل الهدف الاستثماري للصندوق في تحقيق دخل دوري للمستثمرين من خلال الاستثمار في أصول مدرّة للدخل؛ من خلال هيكل استثماري متوافق مع ضوابط لجنة الرقابة الشرعية. وينوي مدير الصندوق "الخبير المالية" الاستثمار في الصكوك، وصفقات عقود التمويل التجاري، وصفقات الإجارة، وأدوات الدخل المهيكلة، والديون المدعومة بالأصول، وصناديق الدخل، وصفقات المرابحة، إما بشكل مباشر، أو من خلال صناديق استثمار.</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0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ب.</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بدء الصندوق</w:t>
            </w:r>
          </w:p>
        </w:tc>
        <w:tc>
          <w:tcPr>
            <w:tcW w:type="dxa" w:w="6860"/>
          </w:tcPr>
          <w:p>
            <w:pPr>
              <w:bidi w:val="1"/>
              <w:spacing w:before="0" w:after="0" w:line="276" w:lineRule="auto"/>
            </w:pPr>
            <w:r>
              <w:rPr>
                <w:rFonts w:ascii="Arial" w:hAnsi="Arial" w:cs="Arial" w:eastAsia="Arial"/>
                <w:b/>
                <w:bCs/>
                <w:color w:val="0E1E3A"/>
                <w:sz w:val="18"/>
                <w:szCs w:val="18"/>
                <w:rtl/>
              </w:rPr>
              <w:t>17 يوليو 2024م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عند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10.1743</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الصندوق *</w:t>
            </w:r>
          </w:p>
        </w:tc>
        <w:tc>
          <w:tcPr>
            <w:tcW w:type="dxa" w:w="6860"/>
          </w:tcPr>
          <w:p>
            <w:pPr>
              <w:bidi w:val="1"/>
              <w:spacing w:before="0" w:after="0" w:line="276" w:lineRule="auto"/>
            </w:pPr>
            <w:r>
              <w:rPr>
                <w:rFonts w:ascii="Arial" w:hAnsi="Arial" w:cs="Arial" w:eastAsia="Arial"/>
                <w:b/>
                <w:bCs/>
                <w:color w:val="0E1E3A"/>
                <w:sz w:val="18"/>
                <w:szCs w:val="18"/>
                <w:rtl/>
              </w:rPr>
              <w:t>311,953,779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عام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 xml:space="preserve">مؤشر مركب من معدل </w:t>
            </w:r>
            <w:r>
              <w:rPr>
                <w:rFonts w:ascii="Arial" w:hAnsi="Arial" w:cs="Arial" w:eastAsia="Arial"/>
                <w:b/>
                <w:bCs/>
                <w:color w:val="0E1E3A"/>
                <w:sz w:val="18"/>
                <w:szCs w:val="18"/>
              </w:rPr>
              <w:t>‎70%‎</w:t>
            </w:r>
            <w:r>
              <w:rPr>
                <w:rFonts w:ascii="Arial" w:hAnsi="Arial" w:cs="Arial" w:eastAsia="Arial"/>
                <w:b/>
                <w:bCs/>
                <w:color w:val="0E1E3A"/>
                <w:sz w:val="18"/>
                <w:szCs w:val="18"/>
                <w:rtl/>
              </w:rPr>
              <w:t xml:space="preserve"> من العائد على مؤشر داو جونز للعائد الإجمالي على الصكوك </w:t>
            </w:r>
            <w:r>
              <w:rPr>
                <w:rFonts w:ascii="Arial" w:hAnsi="Arial" w:cs="Arial" w:eastAsia="Arial"/>
                <w:b/>
                <w:bCs/>
                <w:color w:val="0E1E3A"/>
                <w:sz w:val="18"/>
                <w:szCs w:val="18"/>
              </w:rPr>
              <w:t>‎30%‎</w:t>
            </w:r>
            <w:r>
              <w:rPr>
                <w:rFonts w:ascii="Arial" w:hAnsi="Arial" w:cs="Arial" w:eastAsia="Arial"/>
                <w:b/>
                <w:bCs/>
                <w:color w:val="0E1E3A"/>
                <w:sz w:val="18"/>
                <w:szCs w:val="18"/>
                <w:rtl/>
              </w:rPr>
              <w:t>+ مؤشر سعر فائدة التمويل المضمون لليلة واحدة SOFR لثلاثة أشهر. وهو مؤشر متوافق مع ضوابط الشريعة الاسلامية.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مرات التوزيع</w:t>
            </w:r>
          </w:p>
        </w:tc>
        <w:tc>
          <w:tcPr>
            <w:tcW w:type="dxa" w:w="6860"/>
          </w:tcPr>
          <w:p>
            <w:pPr>
              <w:bidi w:val="1"/>
              <w:spacing w:before="0" w:after="0" w:line="276" w:lineRule="auto"/>
            </w:pPr>
            <w:r>
              <w:rPr>
                <w:rFonts w:ascii="Arial" w:hAnsi="Arial" w:cs="Arial" w:eastAsia="Arial"/>
                <w:b/>
                <w:bCs/>
                <w:color w:val="0E1E3A"/>
                <w:sz w:val="18"/>
                <w:szCs w:val="18"/>
                <w:rtl/>
              </w:rPr>
              <w:t>يجوز لمدير الصندوق توزيع عوائد استثمارات الصندوق بعد خصم المصروفات والمخصصات على مالكي الوحدات أكثر من مرتين في السنة وفق تقديره.</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w:t>
            </w:r>
          </w:p>
        </w:tc>
        <w:tc>
          <w:tcPr>
            <w:tcW w:type="dxa" w:w="6860"/>
          </w:tcPr>
          <w:p>
            <w:pPr>
              <w:bidi w:val="1"/>
              <w:spacing w:before="0" w:after="0" w:line="276" w:lineRule="auto"/>
            </w:pPr>
            <w:r>
              <w:rPr>
                <w:rFonts w:ascii="Arial" w:hAnsi="Arial" w:cs="Arial" w:eastAsia="Arial"/>
                <w:b/>
                <w:bCs/>
                <w:color w:val="0E1E3A"/>
                <w:sz w:val="18"/>
                <w:szCs w:val="18"/>
                <w:rtl/>
              </w:rPr>
              <w:t>92 يوما</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إجمالي قيمة الأصول كما في تاريخ 30 سبتمبر 2025م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0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ج.</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تعريفات:</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الانحراف المعياري</w:t>
            </w:r>
          </w:p>
        </w:tc>
        <w:tc>
          <w:tcPr>
            <w:tcW w:type="dxa" w:w="6860"/>
          </w:tcPr>
          <w:p>
            <w:pPr>
              <w:bidi w:val="1"/>
              <w:spacing w:before="0" w:after="0" w:line="276" w:lineRule="auto"/>
            </w:pPr>
            <w:r>
              <w:rPr>
                <w:rFonts w:ascii="Arial" w:hAnsi="Arial" w:cs="Arial" w:eastAsia="Arial"/>
                <w:b/>
                <w:bCs/>
                <w:color w:val="0E1E3A"/>
                <w:sz w:val="18"/>
                <w:szCs w:val="18"/>
                <w:rtl/>
              </w:rPr>
              <w:t>هو مقياس للمخاطر، ويتم حسابه على أنه التذبذب بين العوائد على مدى فترة زمنية. وكلما انخفض التقلب، كانت مجموعة العوائد أكثر تجانسا.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مؤشر شارب</w:t>
            </w:r>
          </w:p>
        </w:tc>
        <w:tc>
          <w:tcPr>
            <w:tcW w:type="dxa" w:w="6860"/>
          </w:tcPr>
          <w:p>
            <w:pPr>
              <w:bidi w:val="1"/>
              <w:spacing w:before="0" w:after="0" w:line="276" w:lineRule="auto"/>
            </w:pPr>
            <w:r>
              <w:rPr>
                <w:rFonts w:ascii="Arial" w:hAnsi="Arial" w:cs="Arial" w:eastAsia="Arial"/>
                <w:b/>
                <w:bCs/>
                <w:color w:val="0E1E3A"/>
                <w:sz w:val="18"/>
                <w:szCs w:val="18"/>
                <w:rtl/>
              </w:rPr>
              <w:t>هو مقياس أداء معدل المخاطر، ويتم حسابه على أنه الفرق كعائد فائض لمدير الصندوق على المعدل الخالي من المخاطر، مقسوما على الانحراف المعياري. كلما زاد معدل شارب للمحفظة، كلما كان أداؤه حسب المخاطر أفضل.</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خطأ التتبع (Tracking Error)</w:t>
            </w:r>
          </w:p>
        </w:tc>
        <w:tc>
          <w:tcPr>
            <w:tcW w:type="dxa" w:w="6860"/>
          </w:tcPr>
          <w:p>
            <w:pPr>
              <w:bidi w:val="1"/>
              <w:spacing w:before="0" w:after="0" w:line="276" w:lineRule="auto"/>
            </w:pPr>
            <w:r>
              <w:rPr>
                <w:rFonts w:ascii="Arial" w:hAnsi="Arial" w:cs="Arial" w:eastAsia="Arial"/>
                <w:b/>
                <w:bCs/>
                <w:color w:val="0E1E3A"/>
                <w:sz w:val="18"/>
                <w:szCs w:val="18"/>
                <w:rtl/>
              </w:rPr>
              <w:t>هو مقياس للمخاطر، ويتم حسابه على أنه الانحراف المعياري بين عائد مدير الصندوق وعائد المؤشر. وكلما انخفض خطأ التتبع، كلما انحرف مدير الصندوق عن المؤشر.</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بيتا (Beta)</w:t>
            </w:r>
          </w:p>
        </w:tc>
        <w:tc>
          <w:tcPr>
            <w:tcW w:type="dxa" w:w="6860"/>
          </w:tcPr>
          <w:p>
            <w:pPr>
              <w:bidi w:val="1"/>
              <w:spacing w:before="0" w:after="0" w:line="276" w:lineRule="auto"/>
            </w:pPr>
            <w:r>
              <w:rPr>
                <w:rFonts w:ascii="Arial" w:hAnsi="Arial" w:cs="Arial" w:eastAsia="Arial"/>
                <w:b/>
                <w:bCs/>
                <w:color w:val="0E1E3A"/>
                <w:sz w:val="18"/>
                <w:szCs w:val="18"/>
                <w:rtl/>
              </w:rPr>
              <w:t>هو مقياس لمتوسط الحساسية التاريخية لعوائد الصندوق مقارنة بعوائد السوق، ويتم احتسابها عن طريق حساب تغاير سعر الوحدة ومؤشر السوق على تباين مؤشر السوق.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ألفا (Alpha)</w:t>
            </w:r>
          </w:p>
        </w:tc>
        <w:tc>
          <w:tcPr>
            <w:tcW w:type="dxa" w:w="6860"/>
          </w:tcPr>
          <w:p>
            <w:pPr>
              <w:bidi w:val="1"/>
              <w:spacing w:before="0" w:after="0" w:line="276" w:lineRule="auto"/>
            </w:pPr>
            <w:r>
              <w:rPr>
                <w:rFonts w:ascii="Arial" w:hAnsi="Arial" w:cs="Arial" w:eastAsia="Arial"/>
                <w:b/>
                <w:bCs/>
                <w:color w:val="0E1E3A"/>
                <w:sz w:val="18"/>
                <w:szCs w:val="18"/>
                <w:rtl/>
              </w:rPr>
              <w:t>هو مقياس أي تفوق حققه أداء الصندوق مقارنة بأداء المؤشر المرتبط به.</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مؤشر المعلومات</w:t>
            </w:r>
          </w:p>
        </w:tc>
        <w:tc>
          <w:tcPr>
            <w:tcW w:type="dxa" w:w="6860"/>
          </w:tcPr>
          <w:p>
            <w:pPr>
              <w:bidi w:val="1"/>
              <w:spacing w:before="0" w:after="0" w:line="276" w:lineRule="auto"/>
            </w:pPr>
            <w:r>
              <w:rPr>
                <w:rFonts w:ascii="Arial" w:hAnsi="Arial" w:cs="Arial" w:eastAsia="Arial"/>
                <w:b/>
                <w:bCs/>
                <w:color w:val="0E1E3A"/>
                <w:sz w:val="18"/>
                <w:szCs w:val="18"/>
                <w:rtl/>
              </w:rPr>
              <w:t>هو مقياس أداء معدل المخاطر، ويتم حسابه على أنه العائد النشط لمدير الصندوق مقسوما على خطأ التتبع الخاص به. وكلما ارتفع معدل المعلومات، كلما ازدادت قدرة مدير الصندوق على تحقيق عوائد زائدة لكل وحدة من المخاطر الزائدة.</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5" name="Picture 900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د.</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تعليق مدير الصندوق:</w:t>
      </w:r>
    </w:p>
    <w:p>
      <w:pPr>
        <w:bidi w:val="1"/>
        <w:spacing w:before="0" w:after="80" w:line="312" w:lineRule="auto"/>
      </w:pPr>
      <w:r>
        <w:rPr>
          <w:rFonts w:ascii="Arial" w:hAnsi="Arial" w:cs="Arial" w:eastAsia="Arial"/>
          <w:color w:val="0E1E3A"/>
          <w:sz w:val="20"/>
          <w:szCs w:val="20"/>
          <w:rtl/>
        </w:rPr>
        <w:t>لا ينطبق.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0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ه.</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الاتصال:</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رقم الهاتف</w:t>
            </w:r>
          </w:p>
        </w:tc>
        <w:tc>
          <w:tcPr>
            <w:tcW w:type="dxa" w:w="6860"/>
          </w:tcPr>
          <w:p>
            <w:pPr>
              <w:bidi w:val="1"/>
              <w:spacing w:before="0" w:after="0" w:line="276" w:lineRule="auto"/>
            </w:pPr>
            <w:r>
              <w:rPr>
                <w:rFonts w:ascii="Arial" w:hAnsi="Arial" w:cs="Arial" w:eastAsia="Arial"/>
                <w:b/>
                <w:bCs/>
                <w:color w:val="0E1E3A"/>
                <w:sz w:val="18"/>
                <w:szCs w:val="18"/>
              </w:rPr>
              <w:t>‎+966 12 658 8888‎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الموقع الإلكتروني</w:t>
            </w:r>
          </w:p>
        </w:tc>
        <w:tc>
          <w:tcPr>
            <w:tcW w:type="dxa" w:w="6860"/>
          </w:tcPr>
          <w:p>
            <w:pPr>
              <w:bidi w:val="1"/>
              <w:spacing w:before="0" w:after="0" w:line="276" w:lineRule="auto"/>
            </w:pPr>
            <w:r>
              <w:rPr>
                <w:rFonts w:ascii="Arial" w:hAnsi="Arial" w:cs="Arial" w:eastAsia="Arial"/>
                <w:b/>
                <w:bCs/>
                <w:color w:val="0E1E3A"/>
                <w:sz w:val="18"/>
                <w:szCs w:val="18"/>
                <w:rtl/>
              </w:rPr>
              <w:t>www.alkhabeer.com</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البريد الإلكتروني</w:t>
            </w:r>
          </w:p>
        </w:tc>
        <w:tc>
          <w:tcPr>
            <w:tcW w:type="dxa" w:w="6860"/>
          </w:tcPr>
          <w:p>
            <w:pPr>
              <w:bidi w:val="1"/>
              <w:spacing w:before="0" w:after="0" w:line="276" w:lineRule="auto"/>
            </w:pPr>
            <w:r>
              <w:rPr>
                <w:rFonts w:ascii="Arial" w:hAnsi="Arial" w:cs="Arial" w:eastAsia="Arial"/>
                <w:b/>
                <w:bCs/>
                <w:color w:val="0E1E3A"/>
                <w:sz w:val="18"/>
                <w:szCs w:val="18"/>
                <w:rtl/>
              </w:rPr>
              <w:t>info@alkhabeer.com</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0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و.</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معلومات الأسعار كما في نهاية الربع المعني (سبتمبر 2025م):</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كما في نهاية الربع الثالث (30 سبتمبر 2025م)</w:t>
            </w:r>
          </w:p>
        </w:tc>
        <w:tc>
          <w:tcPr>
            <w:tcW w:type="dxa" w:w="6860"/>
          </w:tcPr>
          <w:p>
            <w:pPr>
              <w:bidi w:val="1"/>
              <w:spacing w:before="0" w:after="0" w:line="276" w:lineRule="auto"/>
            </w:pPr>
            <w:r>
              <w:rPr>
                <w:rFonts w:ascii="Arial" w:hAnsi="Arial" w:cs="Arial" w:eastAsia="Arial"/>
                <w:b/>
                <w:bCs/>
                <w:color w:val="0E1E3A"/>
                <w:sz w:val="18"/>
                <w:szCs w:val="18"/>
                <w:rtl/>
              </w:rPr>
              <w:t>7.83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مقارنة بالربع السابق</w:t>
            </w:r>
          </w:p>
        </w:tc>
        <w:tc>
          <w:tcPr>
            <w:tcW w:type="dxa" w:w="6860"/>
          </w:tcPr>
          <w:p>
            <w:pPr>
              <w:bidi w:val="1"/>
              <w:spacing w:before="0" w:after="0" w:line="276" w:lineRule="auto"/>
            </w:pPr>
            <w:r>
              <w:rPr>
                <w:rFonts w:ascii="Arial" w:hAnsi="Arial" w:cs="Arial" w:eastAsia="Arial"/>
                <w:b/>
                <w:bCs/>
                <w:color w:val="0E1E3A"/>
                <w:sz w:val="18"/>
                <w:szCs w:val="18"/>
              </w:rPr>
              <w:t>‎3.16%‎</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المزدوج لصناديق أسواق النقد، وصناديق أدوات الدين ذات الدخل الثابت</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وحدات الصندوق</w:t>
            </w:r>
          </w:p>
        </w:tc>
        <w:tc>
          <w:tcPr>
            <w:tcW w:type="dxa" w:w="6860"/>
          </w:tcPr>
          <w:p>
            <w:pPr>
              <w:bidi w:val="1"/>
              <w:spacing w:before="0" w:after="0" w:line="276" w:lineRule="auto"/>
            </w:pPr>
            <w:r>
              <w:rPr>
                <w:rFonts w:ascii="Arial" w:hAnsi="Arial" w:cs="Arial" w:eastAsia="Arial"/>
                <w:b/>
                <w:bCs/>
                <w:color w:val="0E1E3A"/>
                <w:sz w:val="18"/>
                <w:szCs w:val="18"/>
                <w:rtl/>
              </w:rPr>
              <w:t>30,545,635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الأصول</w:t>
            </w:r>
          </w:p>
        </w:tc>
        <w:tc>
          <w:tcPr>
            <w:tcW w:type="dxa" w:w="6860"/>
          </w:tcPr>
          <w:p>
            <w:pPr>
              <w:bidi w:val="1"/>
              <w:spacing w:before="0" w:after="0" w:line="276" w:lineRule="auto"/>
            </w:pPr>
            <w:r>
              <w:rPr>
                <w:rFonts w:ascii="Arial" w:hAnsi="Arial" w:cs="Arial" w:eastAsia="Arial"/>
                <w:b/>
                <w:bCs/>
                <w:color w:val="0E1E3A"/>
                <w:sz w:val="18"/>
                <w:szCs w:val="18"/>
                <w:rtl/>
              </w:rPr>
              <w:t>310,779,142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مكرر الربحية (P/E)</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8" name="Picture 901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ز.</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معلومات الصندوق كما في نهاية الربع الثالث (سبتمبر 2025م):</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ريال سعودي</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w:t>
            </w:r>
          </w:p>
        </w:tc>
      </w:tr>
      <w:tr>
        <w:tc>
          <w:tcPr>
            <w:tcW w:type="dxa" w:w="3326"/>
          </w:tcPr>
          <w:p>
            <w:pPr>
              <w:bidi w:val="1"/>
              <w:spacing w:before="0" w:after="0" w:line="264" w:lineRule="auto"/>
            </w:pPr>
            <w:r>
              <w:rPr>
                <w:rFonts w:ascii="Arial" w:hAnsi="Arial" w:cs="Arial" w:eastAsia="Arial"/>
                <w:color w:val="0E1E3A"/>
                <w:sz w:val="17"/>
                <w:szCs w:val="17"/>
                <w:rtl/>
              </w:rPr>
              <w:t>نسبة الأتعاب والمصروفات الإجمالية (TER) من متوسط صافي أصول الصندوق</w:t>
            </w:r>
          </w:p>
        </w:tc>
        <w:tc>
          <w:tcPr>
            <w:tcW w:type="dxa" w:w="3326"/>
          </w:tcPr>
          <w:p>
            <w:pPr>
              <w:bidi w:val="1"/>
              <w:spacing w:before="0" w:after="0" w:line="264" w:lineRule="auto"/>
            </w:pPr>
            <w:r>
              <w:rPr>
                <w:rFonts w:ascii="Arial" w:hAnsi="Arial" w:cs="Arial" w:eastAsia="Arial"/>
                <w:color w:val="0E1E3A"/>
                <w:sz w:val="17"/>
                <w:szCs w:val="17"/>
                <w:rtl/>
              </w:rPr>
              <w:t>1,463,583 ر.س.</w:t>
            </w:r>
          </w:p>
        </w:tc>
        <w:tc>
          <w:tcPr>
            <w:tcW w:type="dxa" w:w="3326"/>
          </w:tcPr>
          <w:p>
            <w:pPr>
              <w:bidi w:val="1"/>
              <w:spacing w:before="0" w:after="0" w:line="264" w:lineRule="auto"/>
            </w:pPr>
            <w:r>
              <w:rPr>
                <w:rFonts w:ascii="Arial" w:hAnsi="Arial" w:cs="Arial" w:eastAsia="Arial"/>
                <w:color w:val="0E1E3A"/>
                <w:sz w:val="17"/>
                <w:szCs w:val="17"/>
              </w:rPr>
              <w:t>‎0.47%‎</w:t>
            </w:r>
          </w:p>
        </w:tc>
      </w:tr>
      <w:tr>
        <w:tc>
          <w:tcPr>
            <w:tcW w:type="dxa" w:w="3326"/>
          </w:tcPr>
          <w:p>
            <w:pPr>
              <w:bidi w:val="1"/>
              <w:spacing w:before="0" w:after="0" w:line="264" w:lineRule="auto"/>
            </w:pPr>
            <w:r>
              <w:rPr>
                <w:rFonts w:ascii="Arial" w:hAnsi="Arial" w:cs="Arial" w:eastAsia="Arial"/>
                <w:color w:val="0E1E3A"/>
                <w:sz w:val="17"/>
                <w:szCs w:val="17"/>
                <w:rtl/>
              </w:rPr>
              <w:t>نسبة الاقتراض من القيمة الإجمالية لأصول الصندوق</w:t>
            </w:r>
          </w:p>
        </w:tc>
        <w:tc>
          <w:tcPr>
            <w:tcW w:type="dxa" w:w="3326"/>
          </w:tcPr>
          <w:p>
            <w:pPr>
              <w:bidi w:val="1"/>
              <w:spacing w:before="0" w:after="0" w:line="264" w:lineRule="auto"/>
            </w:pPr>
            <w:r>
              <w:rPr>
                <w:rFonts w:ascii="Arial" w:hAnsi="Arial" w:cs="Arial" w:eastAsia="Arial"/>
                <w:color w:val="0E1E3A"/>
                <w:sz w:val="17"/>
                <w:szCs w:val="17"/>
                <w:rtl/>
              </w:rPr>
              <w:t>لا يوجد</w:t>
            </w:r>
          </w:p>
        </w:tc>
        <w:tc>
          <w:tcPr>
            <w:tcW w:type="dxa" w:w="3326"/>
          </w:tcPr>
          <w:p>
            <w:pPr>
              <w:bidi w:val="1"/>
              <w:spacing w:before="0" w:after="0" w:line="264" w:lineRule="auto"/>
            </w:pPr>
            <w:r>
              <w:rPr>
                <w:rFonts w:ascii="Arial" w:hAnsi="Arial" w:cs="Arial" w:eastAsia="Arial"/>
                <w:color w:val="0E1E3A"/>
                <w:sz w:val="17"/>
                <w:szCs w:val="17"/>
                <w:rtl/>
              </w:rPr>
              <w:t>لا يوجد</w:t>
            </w:r>
          </w:p>
        </w:tc>
      </w:tr>
      <w:tr>
        <w:tc>
          <w:tcPr>
            <w:tcW w:type="dxa" w:w="3326"/>
          </w:tcPr>
          <w:p>
            <w:pPr>
              <w:bidi w:val="1"/>
              <w:spacing w:before="0" w:after="0" w:line="264" w:lineRule="auto"/>
            </w:pPr>
            <w:r>
              <w:rPr>
                <w:rFonts w:ascii="Arial" w:hAnsi="Arial" w:cs="Arial" w:eastAsia="Arial"/>
                <w:color w:val="0E1E3A"/>
                <w:sz w:val="17"/>
                <w:szCs w:val="17"/>
                <w:rtl/>
              </w:rPr>
              <w:t>مصاريف التعامل من متوسط صافي أصول الصندوق</w:t>
            </w:r>
          </w:p>
        </w:tc>
        <w:tc>
          <w:tcPr>
            <w:tcW w:type="dxa" w:w="3326"/>
          </w:tcPr>
          <w:p>
            <w:pPr>
              <w:bidi w:val="1"/>
              <w:spacing w:before="0" w:after="0" w:line="264" w:lineRule="auto"/>
            </w:pPr>
            <w:r>
              <w:rPr>
                <w:rFonts w:ascii="Arial" w:hAnsi="Arial" w:cs="Arial" w:eastAsia="Arial"/>
                <w:color w:val="0E1E3A"/>
                <w:sz w:val="17"/>
                <w:szCs w:val="17"/>
                <w:rtl/>
              </w:rPr>
              <w:t>لا يوجد</w:t>
            </w:r>
          </w:p>
        </w:tc>
        <w:tc>
          <w:tcPr>
            <w:tcW w:type="dxa" w:w="3326"/>
          </w:tcPr>
          <w:p>
            <w:pPr>
              <w:bidi w:val="1"/>
              <w:spacing w:before="0" w:after="0" w:line="264" w:lineRule="auto"/>
            </w:pPr>
            <w:r>
              <w:rPr>
                <w:rFonts w:ascii="Arial" w:hAnsi="Arial" w:cs="Arial" w:eastAsia="Arial"/>
                <w:color w:val="0E1E3A"/>
                <w:sz w:val="17"/>
                <w:szCs w:val="17"/>
                <w:rtl/>
              </w:rPr>
              <w:t>لا يوجد</w:t>
            </w:r>
          </w:p>
        </w:tc>
      </w:tr>
      <w:tr>
        <w:tc>
          <w:tcPr>
            <w:tcW w:type="dxa" w:w="3326"/>
          </w:tcPr>
          <w:p>
            <w:pPr>
              <w:bidi w:val="1"/>
              <w:spacing w:before="0" w:after="0" w:line="264" w:lineRule="auto"/>
            </w:pPr>
            <w:r>
              <w:rPr>
                <w:rFonts w:ascii="Arial" w:hAnsi="Arial" w:cs="Arial" w:eastAsia="Arial"/>
                <w:color w:val="0E1E3A"/>
                <w:sz w:val="17"/>
                <w:szCs w:val="17"/>
                <w:rtl/>
              </w:rPr>
              <w:t>استثمار مدير الصندوق من صافي أصول الصندوق</w:t>
            </w:r>
          </w:p>
        </w:tc>
        <w:tc>
          <w:tcPr>
            <w:tcW w:type="dxa" w:w="3326"/>
          </w:tcPr>
          <w:p>
            <w:pPr>
              <w:bidi w:val="1"/>
              <w:spacing w:before="0" w:after="0" w:line="264" w:lineRule="auto"/>
            </w:pPr>
            <w:r>
              <w:rPr>
                <w:rFonts w:ascii="Arial" w:hAnsi="Arial" w:cs="Arial" w:eastAsia="Arial"/>
                <w:color w:val="0E1E3A"/>
                <w:sz w:val="17"/>
                <w:szCs w:val="17"/>
                <w:rtl/>
              </w:rPr>
              <w:t>50,713,798 ر.س.</w:t>
            </w:r>
          </w:p>
        </w:tc>
        <w:tc>
          <w:tcPr>
            <w:tcW w:type="dxa" w:w="3326"/>
          </w:tcPr>
          <w:p>
            <w:pPr>
              <w:bidi w:val="1"/>
              <w:spacing w:before="0" w:after="0" w:line="264" w:lineRule="auto"/>
            </w:pPr>
            <w:r>
              <w:rPr>
                <w:rFonts w:ascii="Arial" w:hAnsi="Arial" w:cs="Arial" w:eastAsia="Arial"/>
                <w:color w:val="0E1E3A"/>
                <w:sz w:val="17"/>
                <w:szCs w:val="17"/>
              </w:rPr>
              <w:t>‎16.32%‎</w:t>
            </w:r>
          </w:p>
        </w:tc>
      </w:tr>
      <w:tr>
        <w:tc>
          <w:tcPr>
            <w:tcW w:type="dxa" w:w="3326"/>
          </w:tcPr>
          <w:p>
            <w:pPr>
              <w:bidi w:val="1"/>
              <w:spacing w:before="0" w:after="0" w:line="264" w:lineRule="auto"/>
            </w:pPr>
            <w:r>
              <w:rPr>
                <w:rFonts w:ascii="Arial" w:hAnsi="Arial" w:cs="Arial" w:eastAsia="Arial"/>
                <w:color w:val="0E1E3A"/>
                <w:sz w:val="17"/>
                <w:szCs w:val="17"/>
                <w:rtl/>
              </w:rPr>
              <w:t>الأرباح الموزعة من صافي قيمة الأصول*</w:t>
            </w:r>
          </w:p>
        </w:tc>
        <w:tc>
          <w:tcPr>
            <w:tcW w:type="dxa" w:w="3326"/>
          </w:tcPr>
          <w:p>
            <w:pPr>
              <w:bidi w:val="1"/>
              <w:spacing w:before="0" w:after="0" w:line="264" w:lineRule="auto"/>
            </w:pPr>
            <w:r>
              <w:rPr>
                <w:rFonts w:ascii="Arial" w:hAnsi="Arial" w:cs="Arial" w:eastAsia="Arial"/>
                <w:color w:val="0E1E3A"/>
                <w:sz w:val="17"/>
                <w:szCs w:val="17"/>
                <w:rtl/>
              </w:rPr>
              <w:t>11,912,797.65 ر.س.</w:t>
            </w:r>
          </w:p>
        </w:tc>
        <w:tc>
          <w:tcPr>
            <w:tcW w:type="dxa" w:w="3326"/>
          </w:tcPr>
          <w:p>
            <w:pPr>
              <w:bidi w:val="1"/>
              <w:spacing w:before="0" w:after="0" w:line="264" w:lineRule="auto"/>
            </w:pPr>
            <w:r>
              <w:rPr>
                <w:rFonts w:ascii="Arial" w:hAnsi="Arial" w:cs="Arial" w:eastAsia="Arial"/>
                <w:color w:val="0E1E3A"/>
                <w:sz w:val="17"/>
                <w:szCs w:val="17"/>
              </w:rPr>
              <w:t>‎3.83%‎</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تم توزيع 0.39 ريال سعودي للوحدة عن الفترة من 1 يناير 2025م إلى 30 يونيو 2025م -خلال الربع الثالث من العام 2025م.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1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ح.</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ملكية تامة</w:t>
            </w:r>
          </w:p>
        </w:tc>
        <w:tc>
          <w:tcPr>
            <w:tcW w:type="dxa" w:w="6860"/>
          </w:tcPr>
          <w:p>
            <w:pPr>
              <w:bidi w:val="1"/>
              <w:spacing w:before="0" w:after="0" w:line="276" w:lineRule="auto"/>
            </w:pPr>
            <w:r>
              <w:rPr>
                <w:rFonts w:ascii="Arial" w:hAnsi="Arial" w:cs="Arial" w:eastAsia="Arial"/>
                <w:b/>
                <w:bCs/>
                <w:color w:val="0E1E3A"/>
                <w:sz w:val="18"/>
                <w:szCs w:val="18"/>
              </w:rPr>
              <w:t>‎100%‎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حق منفعة</w:t>
            </w:r>
          </w:p>
        </w:tc>
        <w:tc>
          <w:tcPr>
            <w:tcW w:type="dxa" w:w="6860"/>
          </w:tcPr>
          <w:p>
            <w:pPr>
              <w:bidi w:val="1"/>
              <w:spacing w:before="0" w:after="0" w:line="276" w:lineRule="auto"/>
            </w:pPr>
            <w:r>
              <w:rPr>
                <w:rFonts w:ascii="Arial" w:hAnsi="Arial" w:cs="Arial" w:eastAsia="Arial"/>
                <w:b/>
                <w:bCs/>
                <w:color w:val="0E1E3A"/>
                <w:sz w:val="18"/>
                <w:szCs w:val="18"/>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0" name="Picture 901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ط.</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إخلاء مسؤولية:</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للدخل المتنوع 2030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للدخل المتنوع 2030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وتنتفي المسؤولية عن مدير الصندوق، أو أي من تابعيه في حال وقوع أي خسارة مالية للصندوق، ما لم يكن ذلك ناتجا عن أسباب متعمدة من قبل مدير الصندوق.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1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ي.</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أكبر عشرة استثمارات للصندوق:</w:t>
      </w:r>
    </w:p>
    <w:p>
      <w:pPr>
        <w:bidi w:val="1"/>
        <w:spacing w:before="0" w:after="80" w:line="240" w:lineRule="auto"/>
        <w:jc w:val="center"/>
      </w:pPr>
      <w:r>
        <w:drawing>
          <wp:inline xmlns:a="http://schemas.openxmlformats.org/drawingml/2006/main" xmlns:pic="http://schemas.openxmlformats.org/drawingml/2006/picture">
            <wp:extent cx="6336000" cy="2901621"/>
            <wp:docPr id="12" name="Picture 9014"/>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2901621"/>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15"/>
            <wp:cNvGraphicFramePr>
              <a:graphicFrameLocks noChangeAspect="1"/>
            </wp:cNvGraphicFramePr>
            <a:graphic>
              <a:graphicData uri="http://schemas.openxmlformats.org/drawingml/2006/picture">
                <pic:pic>
                  <pic:nvPicPr>
                    <pic:cNvPr id="0" name="ico_737e94dc9d8d67dbf235ae564951a5f7.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ك.</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 الأرباح الموزعة على مالكي الوحدات (إن وُجدت)، بحسب الآتي:</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في الربع الثالث</w:t>
            </w:r>
          </w:p>
        </w:tc>
        <w:tc>
          <w:tcPr>
            <w:tcW w:type="dxa" w:w="6860"/>
          </w:tcPr>
          <w:p>
            <w:pPr>
              <w:bidi w:val="1"/>
              <w:spacing w:before="0" w:after="0" w:line="276" w:lineRule="auto"/>
            </w:pPr>
            <w:r>
              <w:rPr>
                <w:rFonts w:ascii="Arial" w:hAnsi="Arial" w:cs="Arial" w:eastAsia="Arial"/>
                <w:b/>
                <w:bCs/>
                <w:color w:val="0E1E3A"/>
                <w:sz w:val="18"/>
                <w:szCs w:val="18"/>
                <w:rtl/>
              </w:rPr>
              <w:t>11,912,797.65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 التي تم التوزيع لها خلال الربع الثالث</w:t>
            </w:r>
          </w:p>
        </w:tc>
        <w:tc>
          <w:tcPr>
            <w:tcW w:type="dxa" w:w="6860"/>
          </w:tcPr>
          <w:p>
            <w:pPr>
              <w:bidi w:val="1"/>
              <w:spacing w:before="0" w:after="0" w:line="276" w:lineRule="auto"/>
            </w:pPr>
            <w:r>
              <w:rPr>
                <w:rFonts w:ascii="Arial" w:hAnsi="Arial" w:cs="Arial" w:eastAsia="Arial"/>
                <w:b/>
                <w:bCs/>
                <w:color w:val="0E1E3A"/>
                <w:sz w:val="18"/>
                <w:szCs w:val="18"/>
                <w:rtl/>
              </w:rPr>
              <w:t>30,545,635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الربح الموزع لكل وحدة خلال الربع الثالث</w:t>
            </w:r>
          </w:p>
        </w:tc>
        <w:tc>
          <w:tcPr>
            <w:tcW w:type="dxa" w:w="6860"/>
          </w:tcPr>
          <w:p>
            <w:pPr>
              <w:bidi w:val="1"/>
              <w:spacing w:before="0" w:after="0" w:line="276" w:lineRule="auto"/>
            </w:pPr>
            <w:r>
              <w:rPr>
                <w:rFonts w:ascii="Arial" w:hAnsi="Arial" w:cs="Arial" w:eastAsia="Arial"/>
                <w:b/>
                <w:bCs/>
                <w:color w:val="0E1E3A"/>
                <w:sz w:val="18"/>
                <w:szCs w:val="18"/>
                <w:rtl/>
              </w:rPr>
              <w:t>0.39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التوزيعات من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Pr>
              <w:t>‎3.83%‎</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أحقية التوزيعات النقدية التي تم توزيعها خلال الربع المعني</w:t>
            </w:r>
          </w:p>
        </w:tc>
        <w:tc>
          <w:tcPr>
            <w:tcW w:type="dxa" w:w="6860"/>
          </w:tcPr>
          <w:p>
            <w:pPr>
              <w:bidi w:val="1"/>
              <w:spacing w:before="0" w:after="0" w:line="276" w:lineRule="auto"/>
            </w:pPr>
            <w:r>
              <w:rPr>
                <w:rFonts w:ascii="Arial" w:hAnsi="Arial" w:cs="Arial" w:eastAsia="Arial"/>
                <w:b/>
                <w:bCs/>
                <w:color w:val="0E1E3A"/>
                <w:sz w:val="18"/>
                <w:szCs w:val="18"/>
                <w:rtl/>
              </w:rPr>
              <w:t>حسب سجل مالكي الوحدات بنهاية يوم الاثنين الموافق 18 أغسطس 2025م</w:t>
            </w:r>
          </w:p>
        </w:tc>
      </w:tr>
    </w:tbl>
    <w:p>
      <w:pPr>
        <w:bidi w:val="1"/>
        <w:spacing w:before="0" w:after="40" w:line="300" w:lineRule="auto"/>
      </w:pP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سيقوم مدير الصندوق بتوزيع عوائد استثمارات الصندوق بعد خصم المصروفات والمخصصات والاحتياطيات على مالكي الوحدات مرتين في السنة. وذلك باستثناء الأرباح الرأس مالية الناتجة عن بيع الأصول المستثمر فيها والتي قد يتم إعادة استثمارها في أصول أخرى أو توزيع كل أو جزء منها وفقا لتقدير مدير الصندوق.</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وسيقوم الصندوق بتوزيع الأرباح خلال 40 يوم عمل من تاريخ آخر يوم من كل نصف سنة، وبنهاية كل سنة ميلادية؛ أي خلال شهري أغسطس وفبراير من كل سنة ميلادية. وسيتم إيداع أية أرباح نقدية موزعة في الحساب الاستثماري الخاص لمالك الوحدات. يجوز لمدير الصندوق توزيع عوائد استثمارات الصندوق بعد خصم المصروفات والمخصصات على مالكي الوحدات أكثر من مرتين في السنة وفق تقديره.</w:t>
      </w:r>
    </w:p>
    <w:p>
      <w:pPr>
        <w:bidi w:val="1"/>
        <w:spacing w:before="0" w:after="80" w:line="312" w:lineRule="auto"/>
      </w:pPr>
      <w:r>
        <w:rPr>
          <w:rFonts w:ascii="Arial" w:hAnsi="Arial" w:cs="Arial" w:eastAsia="Arial"/>
          <w:color w:val="5A6478"/>
          <w:sz w:val="17"/>
          <w:szCs w:val="17"/>
          <w:rtl/>
        </w:rPr>
        <w:t>* تم الإعلان عن الأرباح بتاريخ 12 أغسطس 2025م، وتم توزيعها بتاريخ 25 أغسطس 2025م عن النصف الأول من العام.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1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ل.</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التصنيف الائتماني لأدوات الدين المستثمّر فيها لأكبر عشرة استثمارات للصندوق، وذلك بحسب الآتي:</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التصنيف الائتماني لأداة الدين</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التصنيف الائتماني لمصدر أداة الدين</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اسم وكالة التصنيف الائتماني المانحة للتصنيف الائتماني</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تاريخ التصنيف الائتماني</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17"/>
            <wp:cNvGraphicFramePr>
              <a:graphicFrameLocks noChangeAspect="1"/>
            </wp:cNvGraphicFramePr>
            <a:graphic>
              <a:graphicData uri="http://schemas.openxmlformats.org/drawingml/2006/picture">
                <pic:pic>
                  <pic:nvPicPr>
                    <pic:cNvPr id="0" name="ico_737e94dc9d8d67dbf235ae564951a5f7.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م.</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توزيع أصول الصندوق (قطاعي/جغرافي):</w:t>
      </w:r>
    </w:p>
    <w:p>
      <w:pPr>
        <w:bidi w:val="1"/>
        <w:spacing w:before="0" w:after="80" w:line="240" w:lineRule="auto"/>
        <w:jc w:val="center"/>
      </w:pPr>
      <w:r>
        <w:drawing>
          <wp:inline xmlns:a="http://schemas.openxmlformats.org/drawingml/2006/main" xmlns:pic="http://schemas.openxmlformats.org/drawingml/2006/picture">
            <wp:extent cx="6336000" cy="1883676"/>
            <wp:docPr id="16" name="Picture 9018"/>
            <wp:cNvGraphicFramePr>
              <a:graphicFrameLocks noChangeAspect="1"/>
            </wp:cNvGraphicFramePr>
            <a:graphic>
              <a:graphicData uri="http://schemas.openxmlformats.org/drawingml/2006/picture">
                <pic:pic>
                  <pic:nvPicPr>
                    <pic:cNvPr id="0" name="x3.j.jpg"/>
                    <pic:cNvPicPr/>
                  </pic:nvPicPr>
                  <pic:blipFill>
                    <a:blip r:embed="rId18"/>
                    <a:stretch>
                      <a:fillRect/>
                    </a:stretch>
                  </pic:blipFill>
                  <pic:spPr>
                    <a:xfrm>
                      <a:off x="0" y="0"/>
                      <a:ext cx="6336000" cy="1883676"/>
                    </a:xfrm>
                    <a:prstGeom prst="rect"/>
                  </pic:spPr>
                </pic:pic>
              </a:graphicData>
            </a:graphic>
          </wp:inline>
        </w:drawing>
      </w:r>
    </w:p>
    <w:p>
      <w:pPr>
        <w:bidi w:val="1"/>
        <w:spacing w:before="0" w:after="80" w:line="240" w:lineRule="auto"/>
        <w:jc w:val="center"/>
      </w:pPr>
      <w:r>
        <w:drawing>
          <wp:inline xmlns:a="http://schemas.openxmlformats.org/drawingml/2006/main" xmlns:pic="http://schemas.openxmlformats.org/drawingml/2006/picture">
            <wp:extent cx="6336000" cy="1969297"/>
            <wp:docPr id="17" name="Picture 9019"/>
            <wp:cNvGraphicFramePr>
              <a:graphicFrameLocks noChangeAspect="1"/>
            </wp:cNvGraphicFramePr>
            <a:graphic>
              <a:graphicData uri="http://schemas.openxmlformats.org/drawingml/2006/picture">
                <pic:pic>
                  <pic:nvPicPr>
                    <pic:cNvPr id="0" name="x4.j.jpg"/>
                    <pic:cNvPicPr/>
                  </pic:nvPicPr>
                  <pic:blipFill>
                    <a:blip r:embed="rId19"/>
                    <a:stretch>
                      <a:fillRect/>
                    </a:stretch>
                  </pic:blipFill>
                  <pic:spPr>
                    <a:xfrm>
                      <a:off x="0" y="0"/>
                      <a:ext cx="6336000" cy="1969297"/>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متوسط مدة استثمارات الصندوق 1.28 سنة.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20"/>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ن.</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العائد: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(نهاية الربع الثالث)</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العائد الكلي لصافي قيمة الوحدة "أداء الصندوق" *</w:t>
            </w:r>
          </w:p>
        </w:tc>
        <w:tc>
          <w:tcPr>
            <w:tcW w:type="dxa" w:w="1663"/>
          </w:tcPr>
          <w:p>
            <w:pPr>
              <w:bidi w:val="1"/>
              <w:spacing w:before="0" w:after="0" w:line="264" w:lineRule="auto"/>
            </w:pPr>
            <w:r>
              <w:rPr>
                <w:rFonts w:ascii="Arial" w:hAnsi="Arial" w:cs="Arial" w:eastAsia="Arial"/>
                <w:color w:val="0E1E3A"/>
                <w:sz w:val="17"/>
                <w:szCs w:val="17"/>
              </w:rPr>
              <w:t>‎1.58%‎</w:t>
            </w:r>
          </w:p>
        </w:tc>
        <w:tc>
          <w:tcPr>
            <w:tcW w:type="dxa" w:w="1663"/>
          </w:tcPr>
          <w:p>
            <w:pPr>
              <w:bidi w:val="1"/>
              <w:spacing w:before="0" w:after="0" w:line="264" w:lineRule="auto"/>
            </w:pPr>
            <w:r>
              <w:rPr>
                <w:rFonts w:ascii="Arial" w:hAnsi="Arial" w:cs="Arial" w:eastAsia="Arial"/>
                <w:color w:val="0E1E3A"/>
                <w:sz w:val="17"/>
                <w:szCs w:val="17"/>
              </w:rPr>
              <w:t>‎5.59%‎</w:t>
            </w:r>
          </w:p>
        </w:tc>
        <w:tc>
          <w:tcPr>
            <w:tcW w:type="dxa" w:w="1663"/>
          </w:tcPr>
          <w:p>
            <w:pPr>
              <w:bidi w:val="1"/>
              <w:spacing w:before="0" w:after="0" w:line="264" w:lineRule="auto"/>
            </w:pPr>
            <w:r>
              <w:rPr>
                <w:rFonts w:ascii="Arial" w:hAnsi="Arial" w:cs="Arial" w:eastAsia="Arial"/>
                <w:color w:val="0E1E3A"/>
                <w:sz w:val="17"/>
                <w:szCs w:val="17"/>
              </w:rPr>
              <w:t>‎7.53%‎</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1663"/>
          </w:tcPr>
          <w:p>
            <w:pPr>
              <w:bidi w:val="1"/>
              <w:spacing w:before="0" w:after="0" w:line="264" w:lineRule="auto"/>
            </w:pPr>
            <w:r>
              <w:rPr>
                <w:rFonts w:ascii="Arial" w:hAnsi="Arial" w:cs="Arial" w:eastAsia="Arial"/>
                <w:color w:val="0E1E3A"/>
                <w:sz w:val="17"/>
                <w:szCs w:val="17"/>
              </w:rPr>
              <w:t>‎1.23%‎</w:t>
            </w:r>
          </w:p>
        </w:tc>
        <w:tc>
          <w:tcPr>
            <w:tcW w:type="dxa" w:w="1663"/>
          </w:tcPr>
          <w:p>
            <w:pPr>
              <w:bidi w:val="1"/>
              <w:spacing w:before="0" w:after="0" w:line="264" w:lineRule="auto"/>
            </w:pPr>
            <w:r>
              <w:rPr>
                <w:rFonts w:ascii="Arial" w:hAnsi="Arial" w:cs="Arial" w:eastAsia="Arial"/>
                <w:color w:val="0E1E3A"/>
                <w:sz w:val="17"/>
                <w:szCs w:val="17"/>
              </w:rPr>
              <w:t>‎3.73%‎</w:t>
            </w:r>
          </w:p>
        </w:tc>
        <w:tc>
          <w:tcPr>
            <w:tcW w:type="dxa" w:w="1663"/>
          </w:tcPr>
          <w:p>
            <w:pPr>
              <w:bidi w:val="1"/>
              <w:spacing w:before="0" w:after="0" w:line="264" w:lineRule="auto"/>
            </w:pPr>
            <w:r>
              <w:rPr>
                <w:rFonts w:ascii="Arial" w:hAnsi="Arial" w:cs="Arial" w:eastAsia="Arial"/>
                <w:color w:val="0E1E3A"/>
                <w:sz w:val="17"/>
                <w:szCs w:val="17"/>
              </w:rPr>
              <w:t>‎3.73%‎</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فارق الأداء</w:t>
            </w:r>
          </w:p>
        </w:tc>
        <w:tc>
          <w:tcPr>
            <w:tcW w:type="dxa" w:w="1663"/>
          </w:tcPr>
          <w:p>
            <w:pPr>
              <w:bidi w:val="1"/>
              <w:spacing w:before="0" w:after="0" w:line="264" w:lineRule="auto"/>
            </w:pPr>
            <w:r>
              <w:rPr>
                <w:rFonts w:ascii="Arial" w:hAnsi="Arial" w:cs="Arial" w:eastAsia="Arial"/>
                <w:color w:val="0E1E3A"/>
                <w:sz w:val="17"/>
                <w:szCs w:val="17"/>
              </w:rPr>
              <w:t>‎0.35%‎</w:t>
            </w:r>
          </w:p>
        </w:tc>
        <w:tc>
          <w:tcPr>
            <w:tcW w:type="dxa" w:w="1663"/>
          </w:tcPr>
          <w:p>
            <w:pPr>
              <w:bidi w:val="1"/>
              <w:spacing w:before="0" w:after="0" w:line="264" w:lineRule="auto"/>
            </w:pPr>
            <w:r>
              <w:rPr>
                <w:rFonts w:ascii="Arial" w:hAnsi="Arial" w:cs="Arial" w:eastAsia="Arial"/>
                <w:color w:val="0E1E3A"/>
                <w:sz w:val="17"/>
                <w:szCs w:val="17"/>
              </w:rPr>
              <w:t>‎1.86%‎</w:t>
            </w:r>
          </w:p>
        </w:tc>
        <w:tc>
          <w:tcPr>
            <w:tcW w:type="dxa" w:w="1663"/>
          </w:tcPr>
          <w:p>
            <w:pPr>
              <w:bidi w:val="1"/>
              <w:spacing w:before="0" w:after="0" w:line="264" w:lineRule="auto"/>
            </w:pPr>
            <w:r>
              <w:rPr>
                <w:rFonts w:ascii="Arial" w:hAnsi="Arial" w:cs="Arial" w:eastAsia="Arial"/>
                <w:color w:val="0E1E3A"/>
                <w:sz w:val="17"/>
                <w:szCs w:val="17"/>
              </w:rPr>
              <w:t>‎3.80%‎</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العائد الكلي = أداء صافي قيمة الوحدة بالإضافة إلى الأرباح الموزعة.</w:t>
      </w:r>
      <w:r>
        <w:br/>
      </w:r>
      <w:r>
        <w:rPr>
          <w:rFonts w:ascii="Arial" w:hAnsi="Arial" w:cs="Arial" w:eastAsia="Arial"/>
          <w:color w:val="5A6478"/>
          <w:sz w:val="17"/>
          <w:szCs w:val="17"/>
          <w:rtl/>
        </w:rPr>
        <w:t>**عن الفترة من 1 يناير 2025م إلى 30 سبتمبر 2025م.</w:t>
      </w:r>
      <w:r>
        <w:br/>
      </w:r>
      <w:r>
        <w:rPr>
          <w:rFonts w:ascii="Arial" w:hAnsi="Arial" w:cs="Arial" w:eastAsia="Arial"/>
          <w:color w:val="5A6478"/>
          <w:sz w:val="17"/>
          <w:szCs w:val="17"/>
          <w:rtl/>
        </w:rPr>
        <w:t>*** عن الفتر من 30 سبتمبر 2024 إلى 30 سبتمبر 2025م.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21"/>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س.</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(نهاية الربع الثالث)</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الانحراف المعياري</w:t>
            </w:r>
          </w:p>
        </w:tc>
        <w:tc>
          <w:tcPr>
            <w:tcW w:type="dxa" w:w="1663"/>
          </w:tcPr>
          <w:p>
            <w:pPr>
              <w:bidi w:val="1"/>
              <w:spacing w:before="0" w:after="0" w:line="264" w:lineRule="auto"/>
            </w:pPr>
            <w:r>
              <w:rPr>
                <w:rFonts w:ascii="Arial" w:hAnsi="Arial" w:cs="Arial" w:eastAsia="Arial"/>
                <w:color w:val="0E1E3A"/>
                <w:sz w:val="17"/>
                <w:szCs w:val="17"/>
                <w:rtl/>
              </w:rPr>
              <w:t>8.30</w:t>
            </w:r>
          </w:p>
        </w:tc>
        <w:tc>
          <w:tcPr>
            <w:tcW w:type="dxa" w:w="1663"/>
          </w:tcPr>
          <w:p>
            <w:pPr>
              <w:bidi w:val="1"/>
              <w:spacing w:before="0" w:after="0" w:line="264" w:lineRule="auto"/>
            </w:pPr>
            <w:r>
              <w:rPr>
                <w:rFonts w:ascii="Arial" w:hAnsi="Arial" w:cs="Arial" w:eastAsia="Arial"/>
                <w:color w:val="0E1E3A"/>
                <w:sz w:val="17"/>
                <w:szCs w:val="17"/>
                <w:rtl/>
              </w:rPr>
              <w:t>14.99</w:t>
            </w:r>
          </w:p>
        </w:tc>
        <w:tc>
          <w:tcPr>
            <w:tcW w:type="dxa" w:w="1663"/>
          </w:tcPr>
          <w:p>
            <w:pPr>
              <w:bidi w:val="1"/>
              <w:spacing w:before="0" w:after="0" w:line="264" w:lineRule="auto"/>
            </w:pPr>
            <w:r>
              <w:rPr>
                <w:rFonts w:ascii="Arial" w:hAnsi="Arial" w:cs="Arial" w:eastAsia="Arial"/>
                <w:color w:val="0E1E3A"/>
                <w:sz w:val="17"/>
                <w:szCs w:val="17"/>
                <w:rtl/>
              </w:rPr>
              <w:t>13.49</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شارب</w:t>
            </w:r>
          </w:p>
        </w:tc>
        <w:tc>
          <w:tcPr>
            <w:tcW w:type="dxa" w:w="1663"/>
          </w:tcPr>
          <w:p>
            <w:pPr>
              <w:bidi w:val="1"/>
              <w:spacing w:before="0" w:after="0" w:line="264" w:lineRule="auto"/>
            </w:pPr>
            <w:r>
              <w:rPr>
                <w:rFonts w:ascii="Arial" w:hAnsi="Arial" w:cs="Arial" w:eastAsia="Arial"/>
                <w:color w:val="0E1E3A"/>
                <w:sz w:val="17"/>
                <w:szCs w:val="17"/>
                <w:rtl/>
              </w:rPr>
              <w:t>3.12</w:t>
            </w:r>
          </w:p>
        </w:tc>
        <w:tc>
          <w:tcPr>
            <w:tcW w:type="dxa" w:w="1663"/>
          </w:tcPr>
          <w:p>
            <w:pPr>
              <w:bidi w:val="1"/>
              <w:spacing w:before="0" w:after="0" w:line="264" w:lineRule="auto"/>
            </w:pPr>
            <w:r>
              <w:rPr>
                <w:rFonts w:ascii="Arial" w:hAnsi="Arial" w:cs="Arial" w:eastAsia="Arial"/>
                <w:color w:val="0E1E3A"/>
                <w:sz w:val="17"/>
                <w:szCs w:val="17"/>
                <w:rtl/>
              </w:rPr>
              <w:t>1.20</w:t>
            </w:r>
          </w:p>
        </w:tc>
        <w:tc>
          <w:tcPr>
            <w:tcW w:type="dxa" w:w="1663"/>
          </w:tcPr>
          <w:p>
            <w:pPr>
              <w:bidi w:val="1"/>
              <w:spacing w:before="0" w:after="0" w:line="264" w:lineRule="auto"/>
            </w:pPr>
            <w:r>
              <w:rPr>
                <w:rFonts w:ascii="Arial" w:hAnsi="Arial" w:cs="Arial" w:eastAsia="Arial"/>
                <w:color w:val="0E1E3A"/>
                <w:sz w:val="17"/>
                <w:szCs w:val="17"/>
                <w:rtl/>
              </w:rPr>
              <w:t>0.75</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خطأ التتبع (Tracking Error)</w:t>
            </w:r>
          </w:p>
        </w:tc>
        <w:tc>
          <w:tcPr>
            <w:tcW w:type="dxa" w:w="1663"/>
          </w:tcPr>
          <w:p>
            <w:pPr>
              <w:bidi w:val="1"/>
              <w:spacing w:before="0" w:after="0" w:line="264" w:lineRule="auto"/>
            </w:pPr>
            <w:r>
              <w:rPr>
                <w:rFonts w:ascii="Arial" w:hAnsi="Arial" w:cs="Arial" w:eastAsia="Arial"/>
                <w:color w:val="0E1E3A"/>
                <w:sz w:val="17"/>
                <w:szCs w:val="17"/>
                <w:rtl/>
              </w:rPr>
              <w:t>8.30</w:t>
            </w:r>
          </w:p>
        </w:tc>
        <w:tc>
          <w:tcPr>
            <w:tcW w:type="dxa" w:w="1663"/>
          </w:tcPr>
          <w:p>
            <w:pPr>
              <w:bidi w:val="1"/>
              <w:spacing w:before="0" w:after="0" w:line="264" w:lineRule="auto"/>
            </w:pPr>
            <w:r>
              <w:rPr>
                <w:rFonts w:ascii="Arial" w:hAnsi="Arial" w:cs="Arial" w:eastAsia="Arial"/>
                <w:color w:val="0E1E3A"/>
                <w:sz w:val="17"/>
                <w:szCs w:val="17"/>
                <w:rtl/>
              </w:rPr>
              <w:t>14.99</w:t>
            </w:r>
          </w:p>
        </w:tc>
        <w:tc>
          <w:tcPr>
            <w:tcW w:type="dxa" w:w="1663"/>
          </w:tcPr>
          <w:p>
            <w:pPr>
              <w:bidi w:val="1"/>
              <w:spacing w:before="0" w:after="0" w:line="264" w:lineRule="auto"/>
            </w:pPr>
            <w:r>
              <w:rPr>
                <w:rFonts w:ascii="Arial" w:hAnsi="Arial" w:cs="Arial" w:eastAsia="Arial"/>
                <w:color w:val="0E1E3A"/>
                <w:sz w:val="17"/>
                <w:szCs w:val="17"/>
                <w:rtl/>
              </w:rPr>
              <w:t>13.49</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بيتا (Beta)</w:t>
            </w:r>
          </w:p>
        </w:tc>
        <w:tc>
          <w:tcPr>
            <w:tcW w:type="dxa" w:w="1663"/>
          </w:tcPr>
          <w:p>
            <w:pPr>
              <w:bidi w:val="1"/>
              <w:spacing w:before="0" w:after="0" w:line="264" w:lineRule="auto"/>
            </w:pPr>
            <w:r>
              <w:rPr>
                <w:rFonts w:ascii="Arial" w:hAnsi="Arial" w:cs="Arial" w:eastAsia="Arial"/>
                <w:color w:val="0E1E3A"/>
                <w:sz w:val="17"/>
                <w:szCs w:val="17"/>
                <w:rtl/>
              </w:rPr>
              <w:t>22.53 -</w:t>
            </w:r>
          </w:p>
        </w:tc>
        <w:tc>
          <w:tcPr>
            <w:tcW w:type="dxa" w:w="1663"/>
          </w:tcPr>
          <w:p>
            <w:pPr>
              <w:bidi w:val="1"/>
              <w:spacing w:before="0" w:after="0" w:line="264" w:lineRule="auto"/>
            </w:pPr>
            <w:r>
              <w:rPr>
                <w:rFonts w:ascii="Arial" w:hAnsi="Arial" w:cs="Arial" w:eastAsia="Arial"/>
                <w:color w:val="0E1E3A"/>
                <w:sz w:val="17"/>
                <w:szCs w:val="17"/>
                <w:rtl/>
              </w:rPr>
              <w:t>24.04</w:t>
            </w:r>
          </w:p>
        </w:tc>
        <w:tc>
          <w:tcPr>
            <w:tcW w:type="dxa" w:w="1663"/>
          </w:tcPr>
          <w:p>
            <w:pPr>
              <w:bidi w:val="1"/>
              <w:spacing w:before="0" w:after="0" w:line="264" w:lineRule="auto"/>
            </w:pPr>
            <w:r>
              <w:rPr>
                <w:rFonts w:ascii="Arial" w:hAnsi="Arial" w:cs="Arial" w:eastAsia="Arial"/>
                <w:color w:val="0E1E3A"/>
                <w:sz w:val="17"/>
                <w:szCs w:val="17"/>
                <w:rtl/>
              </w:rPr>
              <w:t>24.23</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ألفا (Alpha)</w:t>
            </w:r>
          </w:p>
        </w:tc>
        <w:tc>
          <w:tcPr>
            <w:tcW w:type="dxa" w:w="1663"/>
          </w:tcPr>
          <w:p>
            <w:pPr>
              <w:bidi w:val="1"/>
              <w:spacing w:before="0" w:after="0" w:line="264" w:lineRule="auto"/>
            </w:pPr>
            <w:r>
              <w:rPr>
                <w:rFonts w:ascii="Arial" w:hAnsi="Arial" w:cs="Arial" w:eastAsia="Arial"/>
                <w:color w:val="0E1E3A"/>
                <w:sz w:val="17"/>
                <w:szCs w:val="17"/>
              </w:rPr>
              <w:t>‎138.06%‎</w:t>
            </w:r>
          </w:p>
        </w:tc>
        <w:tc>
          <w:tcPr>
            <w:tcW w:type="dxa" w:w="1663"/>
          </w:tcPr>
          <w:p>
            <w:pPr>
              <w:bidi w:val="1"/>
              <w:spacing w:before="0" w:after="0" w:line="264" w:lineRule="auto"/>
            </w:pPr>
            <w:r>
              <w:rPr>
                <w:rFonts w:ascii="Arial" w:hAnsi="Arial" w:cs="Arial" w:eastAsia="Arial"/>
                <w:color w:val="0E1E3A"/>
                <w:sz w:val="17"/>
                <w:szCs w:val="17"/>
              </w:rPr>
              <w:t>‎19.85%‎</w:t>
            </w:r>
          </w:p>
        </w:tc>
        <w:tc>
          <w:tcPr>
            <w:tcW w:type="dxa" w:w="1663"/>
          </w:tcPr>
          <w:p>
            <w:pPr>
              <w:bidi w:val="1"/>
              <w:spacing w:before="0" w:after="0" w:line="264" w:lineRule="auto"/>
            </w:pPr>
            <w:r>
              <w:rPr>
                <w:rFonts w:ascii="Arial" w:hAnsi="Arial" w:cs="Arial" w:eastAsia="Arial"/>
                <w:color w:val="0E1E3A"/>
                <w:sz w:val="17"/>
                <w:szCs w:val="17"/>
              </w:rPr>
              <w:t>‎13.18%‎</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المعلومات</w:t>
            </w:r>
          </w:p>
        </w:tc>
        <w:tc>
          <w:tcPr>
            <w:tcW w:type="dxa" w:w="1663"/>
          </w:tcPr>
          <w:p>
            <w:pPr>
              <w:bidi w:val="1"/>
              <w:spacing w:before="0" w:after="0" w:line="264" w:lineRule="auto"/>
            </w:pPr>
            <w:r>
              <w:rPr>
                <w:rFonts w:ascii="Arial" w:hAnsi="Arial" w:cs="Arial" w:eastAsia="Arial"/>
                <w:color w:val="0E1E3A"/>
                <w:sz w:val="17"/>
                <w:szCs w:val="17"/>
              </w:rPr>
              <w:t>‎2.87%‎</w:t>
            </w:r>
          </w:p>
        </w:tc>
        <w:tc>
          <w:tcPr>
            <w:tcW w:type="dxa" w:w="1663"/>
          </w:tcPr>
          <w:p>
            <w:pPr>
              <w:bidi w:val="1"/>
              <w:spacing w:before="0" w:after="0" w:line="264" w:lineRule="auto"/>
            </w:pPr>
            <w:r>
              <w:rPr>
                <w:rFonts w:ascii="Arial" w:hAnsi="Arial" w:cs="Arial" w:eastAsia="Arial"/>
                <w:color w:val="0E1E3A"/>
                <w:sz w:val="17"/>
                <w:szCs w:val="17"/>
              </w:rPr>
              <w:t>‎1.32%‎</w:t>
            </w:r>
          </w:p>
        </w:tc>
        <w:tc>
          <w:tcPr>
            <w:tcW w:type="dxa" w:w="1663"/>
          </w:tcPr>
          <w:p>
            <w:pPr>
              <w:bidi w:val="1"/>
              <w:spacing w:before="0" w:after="0" w:line="264" w:lineRule="auto"/>
            </w:pPr>
            <w:r>
              <w:rPr>
                <w:rFonts w:ascii="Arial" w:hAnsi="Arial" w:cs="Arial" w:eastAsia="Arial"/>
                <w:color w:val="0E1E3A"/>
                <w:sz w:val="17"/>
                <w:szCs w:val="17"/>
              </w:rPr>
              <w:t>‎0.98%‎</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عن الفترة من 1 يناير 2025م إلى 30 سبتمبر 2025م.</w:t>
      </w:r>
      <w:r>
        <w:br/>
      </w:r>
      <w:r>
        <w:rPr>
          <w:rFonts w:ascii="Arial" w:hAnsi="Arial" w:cs="Arial" w:eastAsia="Arial"/>
          <w:color w:val="5A6478"/>
          <w:sz w:val="17"/>
          <w:szCs w:val="17"/>
          <w:rtl/>
        </w:rPr>
        <w:t>** عن الفتر من 30 سبتمبر 2024م إلى 30 سبتمير 2025م.</w:t>
      </w:r>
      <w:r>
        <w:br/>
      </w:r>
      <w:r>
        <w:rPr>
          <w:rFonts w:ascii="Arial" w:hAnsi="Arial" w:cs="Arial" w:eastAsia="Arial"/>
          <w:color w:val="5A6478"/>
          <w:sz w:val="17"/>
          <w:szCs w:val="17"/>
          <w:rtl/>
        </w:rPr>
        <w:t>*** لا ينطبق كما في تاريخ الإدراج 17 يوليو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22"/>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ع.</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 المعادلات المستخدمة لاحتساب معايير 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tcPr>
          <w:p>
            <w:pPr>
              <w:bidi w:val="1"/>
              <w:spacing w:before="0" w:after="0" w:line="264" w:lineRule="auto"/>
            </w:pPr>
            <w:r>
              <w:rPr>
                <w:rFonts w:ascii="Arial" w:hAnsi="Arial" w:cs="Arial" w:eastAsia="Arial"/>
                <w:color w:val="0E1E3A"/>
                <w:sz w:val="17"/>
                <w:szCs w:val="17"/>
                <w:rtl/>
              </w:rPr>
              <w:t>الانحراف المعياري</w:t>
            </w:r>
          </w:p>
        </w:tc>
        <w:tc>
          <w:tcPr>
            <w:tcW w:type="dxa" w:w="3326"/>
          </w:tcPr>
          <w:p>
            <w:pPr>
              <w:bidi w:val="1"/>
              <w:spacing w:before="0" w:after="0" w:line="264" w:lineRule="auto"/>
            </w:pPr>
            <w:r>
              <w:rPr>
                <w:rFonts w:ascii="Arial" w:hAnsi="Arial" w:cs="Arial" w:eastAsia="Arial"/>
                <w:color w:val="0E1E3A"/>
                <w:sz w:val="17"/>
                <w:szCs w:val="17"/>
                <w:rtl/>
              </w:rPr>
              <w:t>σp = √[ 1/(N − 1) · Σ(Rp,i − Rp)² ]</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Rp,i = Portfolio return in period i</w:t>
            </w:r>
            <w:r>
              <w:br/>
            </w:r>
            <w:r>
              <w:rPr>
                <w:rFonts w:ascii="Arial" w:hAnsi="Arial" w:cs="Arial" w:eastAsia="Arial"/>
                <w:color w:val="0E1E3A"/>
                <w:sz w:val="17"/>
                <w:szCs w:val="17"/>
                <w:rtl/>
              </w:rPr>
              <w:t>Rp = Average portfolio return</w:t>
            </w:r>
            <w:r>
              <w:br/>
            </w:r>
            <w:r>
              <w:rPr>
                <w:rFonts w:ascii="Arial" w:hAnsi="Arial" w:cs="Arial" w:eastAsia="Arial"/>
                <w:color w:val="0E1E3A"/>
                <w:sz w:val="17"/>
                <w:szCs w:val="17"/>
                <w:rtl/>
              </w:rPr>
              <w:t>N = Number of periods</w:t>
            </w:r>
          </w:p>
        </w:tc>
      </w:tr>
      <w:tr>
        <w:tc>
          <w:tcPr>
            <w:tcW w:type="dxa" w:w="3326"/>
          </w:tcPr>
          <w:p>
            <w:pPr>
              <w:bidi w:val="1"/>
              <w:spacing w:before="0" w:after="0" w:line="264" w:lineRule="auto"/>
            </w:pPr>
            <w:r>
              <w:rPr>
                <w:rFonts w:ascii="Arial" w:hAnsi="Arial" w:cs="Arial" w:eastAsia="Arial"/>
                <w:color w:val="0E1E3A"/>
                <w:sz w:val="17"/>
                <w:szCs w:val="17"/>
                <w:rtl/>
              </w:rPr>
              <w:t>مؤشر شارب</w:t>
            </w:r>
          </w:p>
        </w:tc>
        <w:tc>
          <w:tcPr>
            <w:tcW w:type="dxa" w:w="3326"/>
          </w:tcPr>
          <w:p>
            <w:pPr>
              <w:bidi w:val="1"/>
              <w:spacing w:before="0" w:after="0" w:line="264" w:lineRule="auto"/>
            </w:pPr>
            <w:r>
              <w:rPr>
                <w:rFonts w:ascii="Arial" w:hAnsi="Arial" w:cs="Arial" w:eastAsia="Arial"/>
                <w:color w:val="0E1E3A"/>
                <w:sz w:val="17"/>
                <w:szCs w:val="17"/>
                <w:rtl/>
              </w:rPr>
              <w:t>[(Average Annualised Return − Risk Free Rate) ÷ Standard Deviation]</w:t>
            </w:r>
          </w:p>
        </w:tc>
        <w:tc>
          <w:tcPr>
            <w:tcW w:type="dxa" w:w="3326"/>
          </w:tcPr>
          <w:p>
            <w:pPr>
              <w:bidi w:val="1"/>
              <w:spacing w:before="0" w:after="0" w:line="264" w:lineRule="auto"/>
            </w:pPr>
          </w:p>
        </w:tc>
      </w:tr>
      <w:tr>
        <w:tc>
          <w:tcPr>
            <w:tcW w:type="dxa" w:w="3326"/>
          </w:tcPr>
          <w:p>
            <w:pPr>
              <w:bidi w:val="1"/>
              <w:spacing w:before="0" w:after="0" w:line="264" w:lineRule="auto"/>
            </w:pPr>
            <w:r>
              <w:rPr>
                <w:rFonts w:ascii="Arial" w:hAnsi="Arial" w:cs="Arial" w:eastAsia="Arial"/>
                <w:color w:val="0E1E3A"/>
                <w:sz w:val="17"/>
                <w:szCs w:val="17"/>
                <w:rtl/>
              </w:rPr>
              <w:t>خطأ التتبع (Tracking Error)</w:t>
            </w:r>
          </w:p>
        </w:tc>
        <w:tc>
          <w:tcPr>
            <w:tcW w:type="dxa" w:w="3326"/>
          </w:tcPr>
          <w:p>
            <w:pPr>
              <w:bidi w:val="1"/>
              <w:spacing w:before="0" w:after="0" w:line="264" w:lineRule="auto"/>
            </w:pPr>
            <w:r>
              <w:rPr>
                <w:rFonts w:ascii="Arial" w:hAnsi="Arial" w:cs="Arial" w:eastAsia="Arial"/>
                <w:color w:val="0E1E3A"/>
                <w:sz w:val="17"/>
                <w:szCs w:val="17"/>
                <w:rtl/>
              </w:rPr>
              <w:t>TE = √[ 1/(N − 1) · Σ[(Rp,i − Rb,i) − (Rp − Rb)]² ]</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Rp,i = Portfolio return in period i</w:t>
            </w:r>
            <w:r>
              <w:br/>
            </w:r>
            <w:r>
              <w:rPr>
                <w:rFonts w:ascii="Arial" w:hAnsi="Arial" w:cs="Arial" w:eastAsia="Arial"/>
                <w:color w:val="0E1E3A"/>
                <w:sz w:val="17"/>
                <w:szCs w:val="17"/>
                <w:rtl/>
              </w:rPr>
              <w:t>Rb,i = Portfolio return in period i</w:t>
            </w:r>
            <w:r>
              <w:br/>
            </w:r>
            <w:r>
              <w:rPr>
                <w:rFonts w:ascii="Arial" w:hAnsi="Arial" w:cs="Arial" w:eastAsia="Arial"/>
                <w:color w:val="0E1E3A"/>
                <w:sz w:val="17"/>
                <w:szCs w:val="17"/>
                <w:rtl/>
              </w:rPr>
              <w:t>Rp = Average portfolio return</w:t>
            </w:r>
            <w:r>
              <w:br/>
            </w:r>
            <w:r>
              <w:rPr>
                <w:rFonts w:ascii="Arial" w:hAnsi="Arial" w:cs="Arial" w:eastAsia="Arial"/>
                <w:color w:val="0E1E3A"/>
                <w:sz w:val="17"/>
                <w:szCs w:val="17"/>
                <w:rtl/>
              </w:rPr>
              <w:t>Rb = Average portfolio return</w:t>
            </w:r>
            <w:r>
              <w:br/>
            </w:r>
            <w:r>
              <w:rPr>
                <w:rFonts w:ascii="Arial" w:hAnsi="Arial" w:cs="Arial" w:eastAsia="Arial"/>
                <w:color w:val="0E1E3A"/>
                <w:sz w:val="17"/>
                <w:szCs w:val="17"/>
                <w:rtl/>
              </w:rPr>
              <w:t>N = Number of periods</w:t>
            </w:r>
          </w:p>
        </w:tc>
      </w:tr>
      <w:tr>
        <w:tc>
          <w:tcPr>
            <w:tcW w:type="dxa" w:w="3326"/>
          </w:tcPr>
          <w:p>
            <w:pPr>
              <w:bidi w:val="1"/>
              <w:spacing w:before="0" w:after="0" w:line="264" w:lineRule="auto"/>
            </w:pPr>
            <w:r>
              <w:rPr>
                <w:rFonts w:ascii="Arial" w:hAnsi="Arial" w:cs="Arial" w:eastAsia="Arial"/>
                <w:color w:val="0E1E3A"/>
                <w:sz w:val="17"/>
                <w:szCs w:val="17"/>
                <w:rtl/>
              </w:rPr>
              <w:t>بيتا (Beta)</w:t>
            </w:r>
          </w:p>
        </w:tc>
        <w:tc>
          <w:tcPr>
            <w:tcW w:type="dxa" w:w="3326"/>
          </w:tcPr>
          <w:p>
            <w:pPr>
              <w:bidi w:val="1"/>
              <w:spacing w:before="0" w:after="0" w:line="264" w:lineRule="auto"/>
            </w:pPr>
            <w:r>
              <w:rPr>
                <w:rFonts w:ascii="Arial" w:hAnsi="Arial" w:cs="Arial" w:eastAsia="Arial"/>
                <w:color w:val="0E1E3A"/>
                <w:sz w:val="17"/>
                <w:szCs w:val="17"/>
                <w:rtl/>
              </w:rPr>
              <w:t>β = Cov(Rp, Rb) / Var (Rb)</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Cov(Rp, Rb)= covariance between portfolio and benchmark returns</w:t>
            </w:r>
            <w:r>
              <w:br/>
            </w:r>
            <w:r>
              <w:rPr>
                <w:rFonts w:ascii="Arial" w:hAnsi="Arial" w:cs="Arial" w:eastAsia="Arial"/>
                <w:color w:val="0E1E3A"/>
                <w:sz w:val="17"/>
                <w:szCs w:val="17"/>
                <w:rtl/>
              </w:rPr>
              <w:t>Var (Rb)= variance of benchmark returns</w:t>
            </w:r>
          </w:p>
        </w:tc>
      </w:tr>
      <w:tr>
        <w:tc>
          <w:tcPr>
            <w:tcW w:type="dxa" w:w="3326"/>
          </w:tcPr>
          <w:p>
            <w:pPr>
              <w:bidi w:val="1"/>
              <w:spacing w:before="0" w:after="0" w:line="264" w:lineRule="auto"/>
            </w:pPr>
            <w:r>
              <w:rPr>
                <w:rFonts w:ascii="Arial" w:hAnsi="Arial" w:cs="Arial" w:eastAsia="Arial"/>
                <w:color w:val="0E1E3A"/>
                <w:sz w:val="17"/>
                <w:szCs w:val="17"/>
                <w:rtl/>
              </w:rPr>
              <w:t>ألفا (Alpha)</w:t>
            </w:r>
          </w:p>
        </w:tc>
        <w:tc>
          <w:tcPr>
            <w:tcW w:type="dxa" w:w="3326"/>
          </w:tcPr>
          <w:p>
            <w:pPr>
              <w:bidi w:val="1"/>
              <w:spacing w:before="0" w:after="0" w:line="264" w:lineRule="auto"/>
            </w:pPr>
            <w:r>
              <w:rPr>
                <w:rFonts w:ascii="Arial" w:hAnsi="Arial" w:cs="Arial" w:eastAsia="Arial"/>
                <w:color w:val="0E1E3A"/>
                <w:sz w:val="17"/>
                <w:szCs w:val="17"/>
                <w:rtl/>
              </w:rPr>
              <w:t>α = Rp − [ Rf + β ∗ (Rb − Rf)]</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 average portfolio return</w:t>
            </w:r>
            <w:r>
              <w:br/>
            </w:r>
            <w:r>
              <w:rPr>
                <w:rFonts w:ascii="Arial" w:hAnsi="Arial" w:cs="Arial" w:eastAsia="Arial"/>
                <w:color w:val="0E1E3A"/>
                <w:sz w:val="17"/>
                <w:szCs w:val="17"/>
                <w:rtl/>
              </w:rPr>
              <w:t>(Rb)= average benchmark return</w:t>
            </w:r>
            <w:r>
              <w:br/>
            </w:r>
            <w:r>
              <w:rPr>
                <w:rFonts w:ascii="Arial" w:hAnsi="Arial" w:cs="Arial" w:eastAsia="Arial"/>
                <w:color w:val="0E1E3A"/>
                <w:sz w:val="17"/>
                <w:szCs w:val="17"/>
                <w:rtl/>
              </w:rPr>
              <w:t>(Rf)= risk free rate</w:t>
            </w:r>
            <w:r>
              <w:br/>
            </w:r>
            <w:r>
              <w:rPr>
                <w:rFonts w:ascii="Arial" w:hAnsi="Arial" w:cs="Arial" w:eastAsia="Arial"/>
                <w:color w:val="0E1E3A"/>
                <w:sz w:val="17"/>
                <w:szCs w:val="17"/>
                <w:rtl/>
              </w:rPr>
              <w:t>β= portfolio beta</w:t>
            </w:r>
          </w:p>
        </w:tc>
      </w:tr>
      <w:tr>
        <w:tc>
          <w:tcPr>
            <w:tcW w:type="dxa" w:w="3326"/>
          </w:tcPr>
          <w:p>
            <w:pPr>
              <w:bidi w:val="1"/>
              <w:spacing w:before="0" w:after="0" w:line="264" w:lineRule="auto"/>
            </w:pPr>
            <w:r>
              <w:rPr>
                <w:rFonts w:ascii="Arial" w:hAnsi="Arial" w:cs="Arial" w:eastAsia="Arial"/>
                <w:color w:val="0E1E3A"/>
                <w:sz w:val="17"/>
                <w:szCs w:val="17"/>
                <w:rtl/>
              </w:rPr>
              <w:t>مؤشر المعلومات</w:t>
            </w:r>
          </w:p>
        </w:tc>
        <w:tc>
          <w:tcPr>
            <w:tcW w:type="dxa" w:w="3326"/>
          </w:tcPr>
          <w:p>
            <w:pPr>
              <w:bidi w:val="1"/>
              <w:spacing w:before="0" w:after="0" w:line="264" w:lineRule="auto"/>
            </w:pPr>
            <w:r>
              <w:rPr>
                <w:rFonts w:ascii="Arial" w:hAnsi="Arial" w:cs="Arial" w:eastAsia="Arial"/>
                <w:color w:val="0E1E3A"/>
                <w:sz w:val="17"/>
                <w:szCs w:val="17"/>
                <w:rtl/>
              </w:rPr>
              <w:t>IR = (Rp − Rb) / σ (Rp − Rb)</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 = Return of the portfolio</w:t>
            </w:r>
            <w:r>
              <w:br/>
            </w:r>
            <w:r>
              <w:rPr>
                <w:rFonts w:ascii="Arial" w:hAnsi="Arial" w:cs="Arial" w:eastAsia="Arial"/>
                <w:color w:val="0E1E3A"/>
                <w:sz w:val="17"/>
                <w:szCs w:val="17"/>
                <w:rtl/>
              </w:rPr>
              <w:t>Rb = Return of the benchmark</w:t>
            </w:r>
            <w:r>
              <w:br/>
            </w:r>
            <w:r>
              <w:rPr>
                <w:rFonts w:ascii="Arial" w:hAnsi="Arial" w:cs="Arial" w:eastAsia="Arial"/>
                <w:color w:val="0E1E3A"/>
                <w:sz w:val="17"/>
                <w:szCs w:val="17"/>
                <w:rtl/>
              </w:rPr>
              <w:t>Rp-Rb = Active return (the difference between portfolio and benchmark returns</w:t>
            </w:r>
            <w:r>
              <w:br/>
            </w:r>
            <w:r>
              <w:rPr>
                <w:rFonts w:ascii="Arial" w:hAnsi="Arial" w:cs="Arial" w:eastAsia="Arial"/>
                <w:color w:val="0E1E3A"/>
                <w:sz w:val="17"/>
                <w:szCs w:val="17"/>
                <w:rtl/>
              </w:rPr>
              <w:t>σ(Rp−Rb) = Tracking error (standard deviation of the active return)</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23"/>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ف.</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الأداء منذ بداية الصندوق:</w:t>
      </w:r>
    </w:p>
    <w:p>
      <w:pPr>
        <w:bidi w:val="1"/>
        <w:spacing w:before="0" w:after="80" w:line="240" w:lineRule="auto"/>
        <w:jc w:val="center"/>
      </w:pPr>
      <w:r>
        <w:drawing>
          <wp:inline xmlns:a="http://schemas.openxmlformats.org/drawingml/2006/main" xmlns:pic="http://schemas.openxmlformats.org/drawingml/2006/picture">
            <wp:extent cx="6336000" cy="2825514"/>
            <wp:docPr id="22" name="Picture 9024"/>
            <wp:cNvGraphicFramePr>
              <a:graphicFrameLocks noChangeAspect="1"/>
            </wp:cNvGraphicFramePr>
            <a:graphic>
              <a:graphicData uri="http://schemas.openxmlformats.org/drawingml/2006/picture">
                <pic:pic>
                  <pic:nvPicPr>
                    <pic:cNvPr id="0" name="x5.j.jpg"/>
                    <pic:cNvPicPr/>
                  </pic:nvPicPr>
                  <pic:blipFill>
                    <a:blip r:embed="rId22"/>
                    <a:stretch>
                      <a:fillRect/>
                    </a:stretch>
                  </pic:blipFill>
                  <pic:spPr>
                    <a:xfrm>
                      <a:off x="0" y="0"/>
                      <a:ext cx="6336000" cy="2825514"/>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كما في تاريخ 30 سبتمبر 2025م.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25"/>
            <wp:cNvGraphicFramePr>
              <a:graphicFrameLocks noChangeAspect="1"/>
            </wp:cNvGraphicFramePr>
            <a:graphic>
              <a:graphicData uri="http://schemas.openxmlformats.org/drawingml/2006/picture">
                <pic:pic>
                  <pic:nvPicPr>
                    <pic:cNvPr id="0" name="ico_8eba3796ad497c7a142d47da7c90fea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المزيد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26"/>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للدخل المتنوع 2030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للدخل المتنوع 2030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 الاستثمار في الصندوق خاضع للرسوم كما هو مذكور في الشروط والأحكام.</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pn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jp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للدخل المتنوع 2030 المتداول — البيان الربع سنوي الربع الثالث 2025م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