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3"/>
            <wp:cNvGraphicFramePr/>
            <a:graphic>
              <a:graphicData uri="http://schemas.openxmlformats.org/drawingml/2006/picture">
                <pic:pic>
                  <pic:nvPicPr>
                    <pic:cNvPr id="9003" name="banner900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objective is to generate periodic income to investors by investing in income generating assets, using a Shariah compliance investment structure. The Fund Manager, Alkhabeer Capital, intends to invest in Sukuk, Trade Financing Transations, Leasing Transactions, structured income instruments, asset backed debts, income funds and Murabaha transactions, either directly or by way of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10.1743</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311,953,779</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SAR</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The Fund Manager may distribute returns on Fund investments, after deducting expenses and provisions, to Unitholders more than twice a year, at its discretion.</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30 September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N/A.</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8"/>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w:t>
            </w:r>
          </w:p>
        </w:tc>
        <w:tc>
          <w:tcPr>
            <w:tcW w:type="dxa" w:w="6860"/>
          </w:tcPr>
          <w:p>
            <w:pPr>
              <w:spacing w:before="0" w:after="0" w:line="276" w:lineRule="auto"/>
            </w:pPr>
            <w:r>
              <w:rPr>
                <w:rFonts w:ascii="Arial" w:hAnsi="Arial" w:cs="Arial" w:eastAsia="Arial"/>
                <w:b/>
                <w:bCs/>
                <w:color w:val="0E1E3A"/>
                <w:sz w:val="18"/>
                <w:szCs w:val="18"/>
              </w:rPr>
              <w:t>SAR 7.83</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3.16%</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310,779,142</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Q3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1,463,583</w:t>
            </w:r>
          </w:p>
        </w:tc>
        <w:tc>
          <w:tcPr>
            <w:tcW w:type="dxa" w:w="3326"/>
          </w:tcPr>
          <w:p>
            <w:pPr>
              <w:spacing w:before="0" w:after="0" w:line="264" w:lineRule="auto"/>
            </w:pPr>
            <w:r>
              <w:rPr>
                <w:rFonts w:ascii="Arial" w:hAnsi="Arial" w:cs="Arial" w:eastAsia="Arial"/>
                <w:color w:val="0E1E3A"/>
                <w:sz w:val="17"/>
                <w:szCs w:val="17"/>
              </w:rPr>
              <w:t>0.47%</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SAR 50,713,798</w:t>
            </w:r>
          </w:p>
        </w:tc>
        <w:tc>
          <w:tcPr>
            <w:tcW w:type="dxa" w:w="3326"/>
          </w:tcPr>
          <w:p>
            <w:pPr>
              <w:spacing w:before="0" w:after="0" w:line="264" w:lineRule="auto"/>
            </w:pPr>
            <w:r>
              <w:rPr>
                <w:rFonts w:ascii="Arial" w:hAnsi="Arial" w:cs="Arial" w:eastAsia="Arial"/>
                <w:color w:val="0E1E3A"/>
                <w:sz w:val="17"/>
                <w:szCs w:val="17"/>
              </w:rPr>
              <w:t>16.32%</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11,912,797.65</w:t>
            </w:r>
          </w:p>
        </w:tc>
        <w:tc>
          <w:tcPr>
            <w:tcW w:type="dxa" w:w="3326"/>
          </w:tcPr>
          <w:p>
            <w:pPr>
              <w:spacing w:before="0" w:after="0" w:line="264" w:lineRule="auto"/>
            </w:pPr>
            <w:r>
              <w:rPr>
                <w:rFonts w:ascii="Arial" w:hAnsi="Arial" w:cs="Arial" w:eastAsia="Arial"/>
                <w:color w:val="0E1E3A"/>
                <w:sz w:val="17"/>
                <w:szCs w:val="17"/>
              </w:rPr>
              <w:t>3.83%</w:t>
            </w:r>
          </w:p>
        </w:tc>
      </w:tr>
    </w:tbl>
    <w:p>
      <w:pPr>
        <w:spacing w:before="0" w:after="40" w:line="300" w:lineRule="auto"/>
      </w:pPr>
    </w:p>
    <w:p>
      <w:pPr>
        <w:spacing w:before="0" w:after="80" w:line="312" w:lineRule="auto"/>
      </w:pPr>
      <w:r>
        <w:rPr>
          <w:rFonts w:ascii="Arial" w:hAnsi="Arial" w:cs="Arial" w:eastAsia="Arial"/>
          <w:color w:val="5A6478"/>
          <w:sz w:val="17"/>
          <w:szCs w:val="17"/>
        </w:rPr>
        <w:t>*SAR 0.39 per Unit was distributed in Q3 2025 for the period from 1 January 2025 to 30 June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12"/>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 2030’s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 2030’s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0108"/>
            <wp:docPr id="12" name="Picture 9014"/>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5"/>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Q3</w:t>
            </w:r>
          </w:p>
        </w:tc>
        <w:tc>
          <w:tcPr>
            <w:tcW w:type="dxa" w:w="6860"/>
          </w:tcPr>
          <w:p>
            <w:pPr>
              <w:spacing w:before="0" w:after="0" w:line="276" w:lineRule="auto"/>
            </w:pPr>
            <w:r>
              <w:rPr>
                <w:rFonts w:ascii="Arial" w:hAnsi="Arial" w:cs="Arial" w:eastAsia="Arial"/>
                <w:b/>
                <w:bCs/>
                <w:color w:val="0E1E3A"/>
                <w:sz w:val="18"/>
                <w:szCs w:val="18"/>
              </w:rPr>
              <w:t>SAR 11,912,797.65</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Q3</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Q3</w:t>
            </w:r>
          </w:p>
        </w:tc>
        <w:tc>
          <w:tcPr>
            <w:tcW w:type="dxa" w:w="6860"/>
          </w:tcPr>
          <w:p>
            <w:pPr>
              <w:spacing w:before="0" w:after="0" w:line="276" w:lineRule="auto"/>
            </w:pPr>
            <w:r>
              <w:rPr>
                <w:rFonts w:ascii="Arial" w:hAnsi="Arial" w:cs="Arial" w:eastAsia="Arial"/>
                <w:b/>
                <w:bCs/>
                <w:color w:val="0E1E3A"/>
                <w:sz w:val="18"/>
                <w:szCs w:val="18"/>
              </w:rPr>
              <w:t>SAR 0.39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3,83%</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Shareholders' Register as at the close of Business on Monday August 18, 2025</w:t>
            </w:r>
          </w:p>
        </w:tc>
      </w:tr>
    </w:tbl>
    <w:p>
      <w:pPr>
        <w:spacing w:before="0" w:after="40" w:line="300" w:lineRule="auto"/>
      </w:pP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will distribute dividends within (40) business days after the last day of each semiannual period and at the end of each Gregorian year, i.e. in August and February of each Gregorian year. Any distributed cash returns will be deposited in the Unitholder's investment Account. The Fund Manager may distribute the returns on the Fund’s investments, after deducting expenses and provisions, to Unitholders more than twice per year at the Fund Manager’s discretion.</w:t>
      </w:r>
    </w:p>
    <w:p>
      <w:pPr>
        <w:spacing w:before="0" w:after="80" w:line="312" w:lineRule="auto"/>
      </w:pPr>
      <w:r>
        <w:rPr>
          <w:rFonts w:ascii="Arial" w:hAnsi="Arial" w:cs="Arial" w:eastAsia="Arial"/>
          <w:color w:val="5A6478"/>
          <w:sz w:val="17"/>
          <w:szCs w:val="17"/>
        </w:rPr>
        <w:t>* Dividends for H1 2025 were declared on 12 August 2025 and distributed on 25 August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18"/>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19"/>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Average investment term of the Fund is 1.28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1.58%</w:t>
            </w:r>
          </w:p>
        </w:tc>
        <w:tc>
          <w:tcPr>
            <w:tcW w:type="dxa" w:w="1663"/>
          </w:tcPr>
          <w:p>
            <w:pPr>
              <w:spacing w:before="0" w:after="0" w:line="264" w:lineRule="auto"/>
            </w:pPr>
            <w:r>
              <w:rPr>
                <w:rFonts w:ascii="Arial" w:hAnsi="Arial" w:cs="Arial" w:eastAsia="Arial"/>
                <w:color w:val="0E1E3A"/>
                <w:sz w:val="17"/>
                <w:szCs w:val="17"/>
              </w:rPr>
              <w:t>5.59%</w:t>
            </w:r>
          </w:p>
        </w:tc>
        <w:tc>
          <w:tcPr>
            <w:tcW w:type="dxa" w:w="1663"/>
          </w:tcPr>
          <w:p>
            <w:pPr>
              <w:spacing w:before="0" w:after="0" w:line="264" w:lineRule="auto"/>
            </w:pPr>
            <w:r>
              <w:rPr>
                <w:rFonts w:ascii="Arial" w:hAnsi="Arial" w:cs="Arial" w:eastAsia="Arial"/>
                <w:color w:val="0E1E3A"/>
                <w:sz w:val="17"/>
                <w:szCs w:val="17"/>
              </w:rPr>
              <w:t>7.53%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1.23%</w:t>
            </w:r>
          </w:p>
        </w:tc>
        <w:tc>
          <w:tcPr>
            <w:tcW w:type="dxa" w:w="1663"/>
          </w:tcPr>
          <w:p>
            <w:pPr>
              <w:spacing w:before="0" w:after="0" w:line="264" w:lineRule="auto"/>
            </w:pPr>
            <w:r>
              <w:rPr>
                <w:rFonts w:ascii="Arial" w:hAnsi="Arial" w:cs="Arial" w:eastAsia="Arial"/>
                <w:color w:val="0E1E3A"/>
                <w:sz w:val="17"/>
                <w:szCs w:val="17"/>
              </w:rPr>
              <w:t>3.73%</w:t>
            </w:r>
          </w:p>
        </w:tc>
        <w:tc>
          <w:tcPr>
            <w:tcW w:type="dxa" w:w="1663"/>
          </w:tcPr>
          <w:p>
            <w:pPr>
              <w:spacing w:before="0" w:after="0" w:line="264" w:lineRule="auto"/>
            </w:pPr>
            <w:r>
              <w:rPr>
                <w:rFonts w:ascii="Arial" w:hAnsi="Arial" w:cs="Arial" w:eastAsia="Arial"/>
                <w:color w:val="0E1E3A"/>
                <w:sz w:val="17"/>
                <w:szCs w:val="17"/>
              </w:rPr>
              <w:t>3.73%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0.35%</w:t>
            </w:r>
          </w:p>
        </w:tc>
        <w:tc>
          <w:tcPr>
            <w:tcW w:type="dxa" w:w="1663"/>
          </w:tcPr>
          <w:p>
            <w:pPr>
              <w:spacing w:before="0" w:after="0" w:line="264" w:lineRule="auto"/>
            </w:pPr>
            <w:r>
              <w:rPr>
                <w:rFonts w:ascii="Arial" w:hAnsi="Arial" w:cs="Arial" w:eastAsia="Arial"/>
                <w:color w:val="0E1E3A"/>
                <w:sz w:val="17"/>
                <w:szCs w:val="17"/>
              </w:rPr>
              <w:t>1.86%</w:t>
            </w:r>
          </w:p>
        </w:tc>
        <w:tc>
          <w:tcPr>
            <w:tcW w:type="dxa" w:w="1663"/>
          </w:tcPr>
          <w:p>
            <w:pPr>
              <w:spacing w:before="0" w:after="0" w:line="264" w:lineRule="auto"/>
            </w:pPr>
            <w:r>
              <w:rPr>
                <w:rFonts w:ascii="Arial" w:hAnsi="Arial" w:cs="Arial" w:eastAsia="Arial"/>
                <w:color w:val="0E1E3A"/>
                <w:sz w:val="17"/>
                <w:szCs w:val="17"/>
              </w:rPr>
              <w:t>3.80%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January 2025 to 30 September 2025.</w:t>
      </w:r>
      <w:r>
        <w:br/>
      </w:r>
      <w:r>
        <w:rPr>
          <w:rFonts w:ascii="Arial" w:hAnsi="Arial" w:cs="Arial" w:eastAsia="Arial"/>
          <w:color w:val="5A6478"/>
          <w:sz w:val="17"/>
          <w:szCs w:val="17"/>
        </w:rPr>
        <w:t>*** For the period from 30 September 2024 to 30 September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1"/>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8.30</w:t>
            </w:r>
          </w:p>
        </w:tc>
        <w:tc>
          <w:tcPr>
            <w:tcW w:type="dxa" w:w="1663"/>
          </w:tcPr>
          <w:p>
            <w:pPr>
              <w:spacing w:before="0" w:after="0" w:line="264" w:lineRule="auto"/>
            </w:pPr>
            <w:r>
              <w:rPr>
                <w:rFonts w:ascii="Arial" w:hAnsi="Arial" w:cs="Arial" w:eastAsia="Arial"/>
                <w:color w:val="0E1E3A"/>
                <w:sz w:val="17"/>
                <w:szCs w:val="17"/>
              </w:rPr>
              <w:t>14.99</w:t>
            </w:r>
          </w:p>
        </w:tc>
        <w:tc>
          <w:tcPr>
            <w:tcW w:type="dxa" w:w="1663"/>
          </w:tcPr>
          <w:p>
            <w:pPr>
              <w:spacing w:before="0" w:after="0" w:line="264" w:lineRule="auto"/>
            </w:pPr>
            <w:r>
              <w:rPr>
                <w:rFonts w:ascii="Arial" w:hAnsi="Arial" w:cs="Arial" w:eastAsia="Arial"/>
                <w:color w:val="0E1E3A"/>
                <w:sz w:val="17"/>
                <w:szCs w:val="17"/>
              </w:rPr>
              <w:t>13.49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3.12</w:t>
            </w:r>
          </w:p>
        </w:tc>
        <w:tc>
          <w:tcPr>
            <w:tcW w:type="dxa" w:w="1663"/>
          </w:tcPr>
          <w:p>
            <w:pPr>
              <w:spacing w:before="0" w:after="0" w:line="264" w:lineRule="auto"/>
            </w:pPr>
            <w:r>
              <w:rPr>
                <w:rFonts w:ascii="Arial" w:hAnsi="Arial" w:cs="Arial" w:eastAsia="Arial"/>
                <w:color w:val="0E1E3A"/>
                <w:sz w:val="17"/>
                <w:szCs w:val="17"/>
              </w:rPr>
              <w:t>1.20</w:t>
            </w:r>
          </w:p>
        </w:tc>
        <w:tc>
          <w:tcPr>
            <w:tcW w:type="dxa" w:w="1663"/>
          </w:tcPr>
          <w:p>
            <w:pPr>
              <w:spacing w:before="0" w:after="0" w:line="264" w:lineRule="auto"/>
            </w:pPr>
            <w:r>
              <w:rPr>
                <w:rFonts w:ascii="Arial" w:hAnsi="Arial" w:cs="Arial" w:eastAsia="Arial"/>
                <w:color w:val="0E1E3A"/>
                <w:sz w:val="17"/>
                <w:szCs w:val="17"/>
              </w:rPr>
              <w:t>0.75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8.30</w:t>
            </w:r>
          </w:p>
        </w:tc>
        <w:tc>
          <w:tcPr>
            <w:tcW w:type="dxa" w:w="1663"/>
          </w:tcPr>
          <w:p>
            <w:pPr>
              <w:spacing w:before="0" w:after="0" w:line="264" w:lineRule="auto"/>
            </w:pPr>
            <w:r>
              <w:rPr>
                <w:rFonts w:ascii="Arial" w:hAnsi="Arial" w:cs="Arial" w:eastAsia="Arial"/>
                <w:color w:val="0E1E3A"/>
                <w:sz w:val="17"/>
                <w:szCs w:val="17"/>
              </w:rPr>
              <w:t>14.99</w:t>
            </w:r>
          </w:p>
        </w:tc>
        <w:tc>
          <w:tcPr>
            <w:tcW w:type="dxa" w:w="1663"/>
          </w:tcPr>
          <w:p>
            <w:pPr>
              <w:spacing w:before="0" w:after="0" w:line="264" w:lineRule="auto"/>
            </w:pPr>
            <w:r>
              <w:rPr>
                <w:rFonts w:ascii="Arial" w:hAnsi="Arial" w:cs="Arial" w:eastAsia="Arial"/>
                <w:color w:val="0E1E3A"/>
                <w:sz w:val="17"/>
                <w:szCs w:val="17"/>
              </w:rPr>
              <w:t>13.49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-22.53</w:t>
            </w:r>
          </w:p>
        </w:tc>
        <w:tc>
          <w:tcPr>
            <w:tcW w:type="dxa" w:w="1663"/>
          </w:tcPr>
          <w:p>
            <w:pPr>
              <w:spacing w:before="0" w:after="0" w:line="264" w:lineRule="auto"/>
            </w:pPr>
            <w:r>
              <w:rPr>
                <w:rFonts w:ascii="Arial" w:hAnsi="Arial" w:cs="Arial" w:eastAsia="Arial"/>
                <w:color w:val="0E1E3A"/>
                <w:sz w:val="17"/>
                <w:szCs w:val="17"/>
              </w:rPr>
              <w:t>24.04</w:t>
            </w:r>
          </w:p>
        </w:tc>
        <w:tc>
          <w:tcPr>
            <w:tcW w:type="dxa" w:w="1663"/>
          </w:tcPr>
          <w:p>
            <w:pPr>
              <w:spacing w:before="0" w:after="0" w:line="264" w:lineRule="auto"/>
            </w:pPr>
            <w:r>
              <w:rPr>
                <w:rFonts w:ascii="Arial" w:hAnsi="Arial" w:cs="Arial" w:eastAsia="Arial"/>
                <w:color w:val="0E1E3A"/>
                <w:sz w:val="17"/>
                <w:szCs w:val="17"/>
              </w:rPr>
              <w:t>24.23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138.06%</w:t>
            </w:r>
          </w:p>
        </w:tc>
        <w:tc>
          <w:tcPr>
            <w:tcW w:type="dxa" w:w="1663"/>
          </w:tcPr>
          <w:p>
            <w:pPr>
              <w:spacing w:before="0" w:after="0" w:line="264" w:lineRule="auto"/>
            </w:pPr>
            <w:r>
              <w:rPr>
                <w:rFonts w:ascii="Arial" w:hAnsi="Arial" w:cs="Arial" w:eastAsia="Arial"/>
                <w:color w:val="0E1E3A"/>
                <w:sz w:val="17"/>
                <w:szCs w:val="17"/>
              </w:rPr>
              <w:t>19.85%</w:t>
            </w:r>
          </w:p>
        </w:tc>
        <w:tc>
          <w:tcPr>
            <w:tcW w:type="dxa" w:w="1663"/>
          </w:tcPr>
          <w:p>
            <w:pPr>
              <w:spacing w:before="0" w:after="0" w:line="264" w:lineRule="auto"/>
            </w:pPr>
            <w:r>
              <w:rPr>
                <w:rFonts w:ascii="Arial" w:hAnsi="Arial" w:cs="Arial" w:eastAsia="Arial"/>
                <w:color w:val="0E1E3A"/>
                <w:sz w:val="17"/>
                <w:szCs w:val="17"/>
              </w:rPr>
              <w:t>13.18%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2.87%</w:t>
            </w:r>
          </w:p>
        </w:tc>
        <w:tc>
          <w:tcPr>
            <w:tcW w:type="dxa" w:w="1663"/>
          </w:tcPr>
          <w:p>
            <w:pPr>
              <w:spacing w:before="0" w:after="0" w:line="264" w:lineRule="auto"/>
            </w:pPr>
            <w:r>
              <w:rPr>
                <w:rFonts w:ascii="Arial" w:hAnsi="Arial" w:cs="Arial" w:eastAsia="Arial"/>
                <w:color w:val="0E1E3A"/>
                <w:sz w:val="17"/>
                <w:szCs w:val="17"/>
              </w:rPr>
              <w:t>1.32%</w:t>
            </w:r>
          </w:p>
        </w:tc>
        <w:tc>
          <w:tcPr>
            <w:tcW w:type="dxa" w:w="1663"/>
          </w:tcPr>
          <w:p>
            <w:pPr>
              <w:spacing w:before="0" w:after="0" w:line="264" w:lineRule="auto"/>
            </w:pPr>
            <w:r>
              <w:rPr>
                <w:rFonts w:ascii="Arial" w:hAnsi="Arial" w:cs="Arial" w:eastAsia="Arial"/>
                <w:color w:val="0E1E3A"/>
                <w:sz w:val="17"/>
                <w:szCs w:val="17"/>
              </w:rPr>
              <w:t>0.98%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30 September 2025.</w:t>
      </w:r>
      <w:r>
        <w:br/>
      </w:r>
      <w:r>
        <w:rPr>
          <w:rFonts w:ascii="Arial" w:hAnsi="Arial" w:cs="Arial" w:eastAsia="Arial"/>
          <w:color w:val="5A6478"/>
          <w:sz w:val="17"/>
          <w:szCs w:val="17"/>
        </w:rPr>
        <w:t>** For the period from 30 September 2024 to 30 September 2025.</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2" name="Picture 9024"/>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As at 30 September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5"/>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6"/>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Q3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