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1"/>
            <wp:cNvGraphicFramePr/>
            <a:graphic>
              <a:graphicData uri="http://schemas.openxmlformats.org/drawingml/2006/picture">
                <pic:pic>
                  <pic:nvPicPr>
                    <pic:cNvPr id="9001" name="banner900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0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2030 المتداول"، هو صندوق استثمار عام متداول مغلق متوافق مع ضوابط لجنة الرقابة الشرعية، تم إنشاؤه بموجب لائحة صناديق الاستثمار والأنظمة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من خلال هيكل استثماري متوافق مع ضوابط لجنة الرقابة الشرعية. وينوي مدير الصندوق "الخبير المالية" الاستثمار في الصكوك، وصفقات عقود التمويل التجاري، وصفقات الإجارة، وأدوات الدخل المهيكلة، والديون المدعومة بالأصول،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0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AKDI2030: 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17 يوليو 2024م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ست سنوات تبدأ من تاريخ الإدراج</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10.2708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w:t>
            </w:r>
          </w:p>
        </w:tc>
        <w:tc>
          <w:tcPr>
            <w:tcW w:type="dxa" w:w="6860"/>
          </w:tcPr>
          <w:p>
            <w:pPr>
              <w:bidi w:val="1"/>
              <w:spacing w:before="0" w:after="0" w:line="276" w:lineRule="auto"/>
            </w:pPr>
            <w:r>
              <w:rPr>
                <w:rFonts w:ascii="Arial" w:hAnsi="Arial" w:cs="Arial" w:eastAsia="Arial"/>
                <w:b/>
                <w:bCs/>
                <w:color w:val="0E1E3A"/>
                <w:sz w:val="18"/>
                <w:szCs w:val="18"/>
                <w:rtl/>
              </w:rPr>
              <w:t>315,727,571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305,456,350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51,353,778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‎16.37%‎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2024م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0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978811"/>
            <wp:docPr id="5" name="Picture 900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978811"/>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1.9 سنة.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نصف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tl/>
              </w:rPr>
              <w:t>315,727,571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w:t>
            </w:r>
          </w:p>
        </w:tc>
        <w:tc>
          <w:tcPr>
            <w:tcW w:type="dxa" w:w="6860"/>
          </w:tcPr>
          <w:p>
            <w:pPr>
              <w:bidi w:val="1"/>
              <w:spacing w:before="0" w:after="0" w:line="276" w:lineRule="auto"/>
            </w:pPr>
            <w:r>
              <w:rPr>
                <w:rFonts w:ascii="Arial" w:hAnsi="Arial" w:cs="Arial" w:eastAsia="Arial"/>
                <w:b/>
                <w:bCs/>
                <w:color w:val="0E1E3A"/>
                <w:sz w:val="18"/>
                <w:szCs w:val="18"/>
                <w:rtl/>
              </w:rPr>
              <w:t>313,726,754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‎0.39%‎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‎0.39%‎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تكاليف/أتعاب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‎0.40%‎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1,228,154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2024م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310,901,098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93189"/>
            <wp:docPr id="8" name="Picture 900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93189"/>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0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استثمارات بالصندوق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0" name="Picture 9010"/>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الديون المدعومة بالأصول</w:t>
            </w:r>
          </w:p>
        </w:tc>
        <w:tc>
          <w:tcPr>
            <w:tcW w:type="dxa" w:w="6860"/>
          </w:tcPr>
          <w:p>
            <w:pPr>
              <w:bidi w:val="1"/>
              <w:spacing w:before="0" w:after="0" w:line="276" w:lineRule="auto"/>
            </w:pPr>
            <w:r>
              <w:rPr>
                <w:rFonts w:ascii="Arial" w:hAnsi="Arial" w:cs="Arial" w:eastAsia="Arial"/>
                <w:b/>
                <w:bCs/>
                <w:color w:val="0E1E3A"/>
                <w:sz w:val="18"/>
                <w:szCs w:val="18"/>
                <w:rtl/>
              </w:rPr>
              <w:t>59,341,429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91,372,670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الدخل المهيكلة</w:t>
            </w:r>
          </w:p>
        </w:tc>
        <w:tc>
          <w:tcPr>
            <w:tcW w:type="dxa" w:w="6860"/>
          </w:tcPr>
          <w:p>
            <w:pPr>
              <w:bidi w:val="1"/>
              <w:spacing w:before="0" w:after="0" w:line="276" w:lineRule="auto"/>
            </w:pPr>
            <w:r>
              <w:rPr>
                <w:rFonts w:ascii="Arial" w:hAnsi="Arial" w:cs="Arial" w:eastAsia="Arial"/>
                <w:b/>
                <w:bCs/>
                <w:color w:val="0E1E3A"/>
                <w:sz w:val="18"/>
                <w:szCs w:val="18"/>
                <w:rtl/>
              </w:rPr>
              <w:t>124,636,914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الدخل التأجيري</w:t>
            </w:r>
          </w:p>
        </w:tc>
        <w:tc>
          <w:tcPr>
            <w:tcW w:type="dxa" w:w="6860"/>
          </w:tcPr>
          <w:p>
            <w:pPr>
              <w:bidi w:val="1"/>
              <w:spacing w:before="0" w:after="0" w:line="276" w:lineRule="auto"/>
            </w:pPr>
            <w:r>
              <w:rPr>
                <w:rFonts w:ascii="Arial" w:hAnsi="Arial" w:cs="Arial" w:eastAsia="Arial"/>
                <w:b/>
                <w:bCs/>
                <w:color w:val="0E1E3A"/>
                <w:sz w:val="18"/>
                <w:szCs w:val="18"/>
                <w:rtl/>
              </w:rPr>
              <w:t>39,044,715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933,056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398,787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305,456,350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2024م</w:t>
            </w:r>
          </w:p>
        </w:tc>
        <w:tc>
          <w:tcPr>
            <w:tcW w:type="dxa" w:w="6860"/>
          </w:tcPr>
          <w:p>
            <w:pPr>
              <w:bidi w:val="1"/>
              <w:spacing w:before="0" w:after="0" w:line="276" w:lineRule="auto"/>
            </w:pPr>
            <w:r>
              <w:rPr>
                <w:rFonts w:ascii="Arial" w:hAnsi="Arial" w:cs="Arial" w:eastAsia="Arial"/>
                <w:b/>
                <w:bCs/>
                <w:color w:val="0E1E3A"/>
                <w:sz w:val="18"/>
                <w:szCs w:val="18"/>
                <w:rtl/>
              </w:rPr>
              <w:t>227,564,981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2024م</w:t>
            </w:r>
          </w:p>
        </w:tc>
        <w:tc>
          <w:tcPr>
            <w:tcW w:type="dxa" w:w="6860"/>
          </w:tcPr>
          <w:p>
            <w:pPr>
              <w:bidi w:val="1"/>
              <w:spacing w:before="0" w:after="0" w:line="276" w:lineRule="auto"/>
            </w:pPr>
            <w:r>
              <w:rPr>
                <w:rFonts w:ascii="Arial" w:hAnsi="Arial" w:cs="Arial" w:eastAsia="Arial"/>
                <w:b/>
                <w:bCs/>
                <w:color w:val="0E1E3A"/>
                <w:sz w:val="18"/>
                <w:szCs w:val="18"/>
                <w:rtl/>
              </w:rPr>
              <w:t>226,037,699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82378"/>
            <wp:docPr id="14" name="Picture 9014"/>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82378"/>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1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الرابع (31 ديسمبر 2024م)</w:t>
            </w:r>
          </w:p>
        </w:tc>
        <w:tc>
          <w:tcPr>
            <w:tcW w:type="dxa" w:w="6860"/>
          </w:tcPr>
          <w:p>
            <w:pPr>
              <w:bidi w:val="1"/>
              <w:spacing w:before="0" w:after="0" w:line="276" w:lineRule="auto"/>
            </w:pPr>
            <w:r>
              <w:rPr>
                <w:rFonts w:ascii="Arial" w:hAnsi="Arial" w:cs="Arial" w:eastAsia="Arial"/>
                <w:b/>
                <w:bCs/>
                <w:color w:val="0E1E3A"/>
                <w:sz w:val="18"/>
                <w:szCs w:val="18"/>
                <w:rtl/>
              </w:rPr>
              <w:t>7.40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‎-0.67%‎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الرابع 2024م)</w:t>
            </w:r>
          </w:p>
        </w:tc>
        <w:tc>
          <w:tcPr>
            <w:tcW w:type="dxa" w:w="6860"/>
          </w:tcPr>
          <w:p>
            <w:pPr>
              <w:bidi w:val="1"/>
              <w:spacing w:before="0" w:after="0" w:line="276" w:lineRule="auto"/>
            </w:pPr>
            <w:r>
              <w:rPr>
                <w:rFonts w:ascii="Arial" w:hAnsi="Arial" w:cs="Arial" w:eastAsia="Arial"/>
                <w:b/>
                <w:bCs/>
                <w:color w:val="0E1E3A"/>
                <w:sz w:val="18"/>
                <w:szCs w:val="18"/>
              </w:rPr>
              <w:t>‎-26.00%‎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7.01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30,545,635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30 سبتمبر 2024م = 7.45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16"/>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p>
      <w:pPr>
        <w:pStyle w:val="Heading3"/>
        <w:keepNext/>
        <w:bidi w:val="1"/>
        <w:spacing w:before="160" w:after="100" w:line="300" w:lineRule="auto"/>
      </w:pPr>
      <w:r>
        <w:rPr>
          <w:rFonts w:ascii="Arial" w:hAnsi="Arial" w:cs="Arial" w:eastAsia="Arial"/>
          <w:b/>
          <w:bCs/>
          <w:color w:val="12284B"/>
          <w:sz w:val="22"/>
          <w:szCs w:val="22"/>
          <w:rtl/>
        </w:rPr>
        <w:t>سياسة توزيع الأرباح</w:t>
      </w:r>
    </w:p>
    <w:p>
      <w:pPr>
        <w:bidi w:val="1"/>
        <w:spacing w:before="0" w:after="80" w:line="312" w:lineRule="auto"/>
      </w:pPr>
      <w:r>
        <w:rPr>
          <w:rFonts w:ascii="Arial" w:hAnsi="Arial" w:cs="Arial" w:eastAsia="Arial"/>
          <w:color w:val="0E1E3A"/>
          <w:sz w:val="20"/>
          <w:szCs w:val="20"/>
          <w:rtl/>
        </w:rPr>
        <w:t>سيقوم مدير الصندوق بتوزيع عوائد استثمارات الصندوق بعد خصم المصروفات والمخصصات والاحتياطيات، على مالكي الوحدات مرتين في السنة. وذلك باستثناء الأرباح الرأس مالية الناتجة عن بيع الأصول المستثمر فيها، والتي قد يتم إعادة استثمارها في أصول أخرى، أو توزيع كل أو جزء منها وفقا لتقدير مدير الصندوق. وسيقوم الصندوق بتوزيع الأرباح خلال 40 يوم عمل من تاريخ آخر يوم من كل نصف سنة، وبنهاية كل سنة ميلادية. يجوز لمدير الصندوق توزيع عوائد استثمارات الصندوق بعد خصم المصروفات والمخصصات على مالكي الوحدات أكثر من مرتين في السنة وفق تقديره.</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المدفوعة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6,872,869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(31 ديسمبر 2024م)</w:t>
            </w:r>
          </w:p>
        </w:tc>
        <w:tc>
          <w:tcPr>
            <w:tcW w:type="dxa" w:w="6860"/>
          </w:tcPr>
          <w:p>
            <w:pPr>
              <w:bidi w:val="1"/>
              <w:spacing w:before="0" w:after="0" w:line="276" w:lineRule="auto"/>
            </w:pPr>
            <w:r>
              <w:rPr>
                <w:rFonts w:ascii="Arial" w:hAnsi="Arial" w:cs="Arial" w:eastAsia="Arial"/>
                <w:b/>
                <w:bCs/>
                <w:color w:val="0E1E3A"/>
                <w:sz w:val="18"/>
                <w:szCs w:val="18"/>
              </w:rPr>
              <w:t>‎3.04%‎</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30 سبتمبر 2024م إلى 31 ديسمبر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1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 xml:space="preserve">مؤشر مركب من معدل </w:t>
            </w:r>
            <w:r>
              <w:rPr>
                <w:rFonts w:ascii="Arial" w:hAnsi="Arial" w:cs="Arial" w:eastAsia="Arial"/>
                <w:b/>
                <w:bCs/>
                <w:color w:val="0E1E3A"/>
                <w:sz w:val="18"/>
                <w:szCs w:val="18"/>
              </w:rPr>
              <w:t>‎70%‎</w:t>
            </w:r>
            <w:r>
              <w:rPr>
                <w:rFonts w:ascii="Arial" w:hAnsi="Arial" w:cs="Arial" w:eastAsia="Arial"/>
                <w:b/>
                <w:bCs/>
                <w:color w:val="0E1E3A"/>
                <w:sz w:val="18"/>
                <w:szCs w:val="18"/>
                <w:rtl/>
              </w:rPr>
              <w:t xml:space="preserve"> من العائد على مؤشر داو جونز للعائد الإجمالي على الصكوك </w:t>
            </w:r>
            <w:r>
              <w:rPr>
                <w:rFonts w:ascii="Arial" w:hAnsi="Arial" w:cs="Arial" w:eastAsia="Arial"/>
                <w:b/>
                <w:bCs/>
                <w:color w:val="0E1E3A"/>
                <w:sz w:val="18"/>
                <w:szCs w:val="18"/>
              </w:rPr>
              <w:t>‎30%‎</w:t>
            </w:r>
            <w:r>
              <w:rPr>
                <w:rFonts w:ascii="Arial" w:hAnsi="Arial" w:cs="Arial" w:eastAsia="Arial"/>
                <w:b/>
                <w:bCs/>
                <w:color w:val="0E1E3A"/>
                <w:sz w:val="18"/>
                <w:szCs w:val="18"/>
                <w:rtl/>
              </w:rPr>
              <w:t>+ مؤشر سعر فائده التمويل المضمون لليلة واحدة SOFR لثلاثة أشهر. وهو مؤشر متوافق مع ضوابط الشريعة الاسلامية.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w:t>
            </w:r>
          </w:p>
        </w:tc>
        <w:tc>
          <w:tcPr>
            <w:tcW w:type="dxa" w:w="6860"/>
          </w:tcPr>
          <w:p>
            <w:pPr>
              <w:bidi w:val="1"/>
              <w:spacing w:before="0" w:after="0" w:line="276" w:lineRule="auto"/>
            </w:pPr>
            <w:r>
              <w:rPr>
                <w:rFonts w:ascii="Arial" w:hAnsi="Arial" w:cs="Arial" w:eastAsia="Arial"/>
                <w:b/>
                <w:bCs/>
                <w:color w:val="0E1E3A"/>
                <w:sz w:val="18"/>
                <w:szCs w:val="18"/>
              </w:rPr>
              <w:t>‎-0.67%‎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w:t>
            </w:r>
          </w:p>
        </w:tc>
        <w:tc>
          <w:tcPr>
            <w:tcW w:type="dxa" w:w="6860"/>
          </w:tcPr>
          <w:p>
            <w:pPr>
              <w:bidi w:val="1"/>
              <w:spacing w:before="0" w:after="0" w:line="276" w:lineRule="auto"/>
            </w:pPr>
            <w:r>
              <w:rPr>
                <w:rFonts w:ascii="Arial" w:hAnsi="Arial" w:cs="Arial" w:eastAsia="Arial"/>
                <w:b/>
                <w:bCs/>
                <w:color w:val="0E1E3A"/>
                <w:sz w:val="18"/>
                <w:szCs w:val="18"/>
              </w:rPr>
              <w:t>‎-26.00%‎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w:t>
            </w:r>
          </w:p>
        </w:tc>
        <w:tc>
          <w:tcPr>
            <w:tcW w:type="dxa" w:w="6860"/>
          </w:tcPr>
          <w:p>
            <w:pPr>
              <w:bidi w:val="1"/>
              <w:spacing w:before="0" w:after="0" w:line="276" w:lineRule="auto"/>
            </w:pPr>
            <w:r>
              <w:rPr>
                <w:rFonts w:ascii="Arial" w:hAnsi="Arial" w:cs="Arial" w:eastAsia="Arial"/>
                <w:b/>
                <w:bCs/>
                <w:color w:val="0E1E3A"/>
                <w:sz w:val="18"/>
                <w:szCs w:val="18"/>
              </w:rPr>
              <w:t>‎-26.00%‎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تاريخ الإدراج 17 يوليو 2024م إلى 31 ديسمبر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1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 xml:space="preserve">المؤشر الاسترشادي للصندوق هو مؤشر مركب من معدل </w:t>
      </w:r>
      <w:r>
        <w:rPr>
          <w:rFonts w:ascii="Arial" w:hAnsi="Arial" w:cs="Arial" w:eastAsia="Arial"/>
          <w:color w:val="0E1E3A"/>
          <w:sz w:val="20"/>
          <w:szCs w:val="20"/>
        </w:rPr>
        <w:t>‎70%‎</w:t>
      </w:r>
      <w:r>
        <w:rPr>
          <w:rFonts w:ascii="Arial" w:hAnsi="Arial" w:cs="Arial" w:eastAsia="Arial"/>
          <w:color w:val="0E1E3A"/>
          <w:sz w:val="20"/>
          <w:szCs w:val="20"/>
          <w:rtl/>
        </w:rPr>
        <w:t xml:space="preserve"> من العائد على مؤشر داو جونز للعائد الإجمالي على الصكوك </w:t>
      </w:r>
      <w:r>
        <w:rPr>
          <w:rFonts w:ascii="Arial" w:hAnsi="Arial" w:cs="Arial" w:eastAsia="Arial"/>
          <w:color w:val="0E1E3A"/>
          <w:sz w:val="20"/>
          <w:szCs w:val="20"/>
        </w:rPr>
        <w:t>‎30%‎</w:t>
      </w:r>
      <w:r>
        <w:rPr>
          <w:rFonts w:ascii="Arial" w:hAnsi="Arial" w:cs="Arial" w:eastAsia="Arial"/>
          <w:color w:val="0E1E3A"/>
          <w:sz w:val="20"/>
          <w:szCs w:val="20"/>
          <w:rtl/>
        </w:rPr>
        <w:t>+ مؤشر سعر فائدة التمويل المضمون لليلة واحدة SOFR لثلاثة أشهر. وهو مؤشر متوافق مع ضوابط الشريعة الاسلامية.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19"/>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المؤشر الاسترشادي</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10.0857</w:t>
            </w:r>
          </w:p>
        </w:tc>
        <w:tc>
          <w:tcPr>
            <w:tcW w:type="dxa" w:w="3326"/>
          </w:tcPr>
          <w:p>
            <w:pPr>
              <w:bidi w:val="1"/>
              <w:spacing w:before="0" w:after="0" w:line="264" w:lineRule="auto"/>
            </w:pPr>
            <w:r>
              <w:rPr>
                <w:rFonts w:ascii="Arial" w:hAnsi="Arial" w:cs="Arial" w:eastAsia="Arial"/>
                <w:color w:val="0E1E3A"/>
                <w:sz w:val="17"/>
                <w:szCs w:val="17"/>
                <w:rtl/>
              </w:rPr>
              <w:t>N/A</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10.2708</w:t>
            </w:r>
          </w:p>
        </w:tc>
        <w:tc>
          <w:tcPr>
            <w:tcW w:type="dxa" w:w="3326"/>
          </w:tcPr>
          <w:p>
            <w:pPr>
              <w:bidi w:val="1"/>
              <w:spacing w:before="0" w:after="0" w:line="264" w:lineRule="auto"/>
            </w:pPr>
            <w:r>
              <w:rPr>
                <w:rFonts w:ascii="Arial" w:hAnsi="Arial" w:cs="Arial" w:eastAsia="Arial"/>
                <w:color w:val="0E1E3A"/>
                <w:sz w:val="17"/>
                <w:szCs w:val="17"/>
                <w:rtl/>
              </w:rPr>
              <w:t>N/A</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‎1.83%‎</w:t>
            </w:r>
          </w:p>
        </w:tc>
        <w:tc>
          <w:tcPr>
            <w:tcW w:type="dxa" w:w="3326"/>
          </w:tcPr>
          <w:p>
            <w:pPr>
              <w:bidi w:val="1"/>
              <w:spacing w:before="0" w:after="0" w:line="264" w:lineRule="auto"/>
            </w:pPr>
            <w:r>
              <w:rPr>
                <w:rFonts w:ascii="Arial" w:hAnsi="Arial" w:cs="Arial" w:eastAsia="Arial"/>
                <w:color w:val="0E1E3A"/>
                <w:sz w:val="17"/>
                <w:szCs w:val="17"/>
              </w:rPr>
              <w:t>‎1.16%‎</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2024م.</w:t>
      </w:r>
      <w:r>
        <w:br/>
      </w:r>
      <w:r>
        <w:rPr>
          <w:rFonts w:ascii="Arial" w:hAnsi="Arial" w:cs="Arial" w:eastAsia="Arial"/>
          <w:color w:val="5A6478"/>
          <w:sz w:val="17"/>
          <w:szCs w:val="17"/>
          <w:rtl/>
        </w:rPr>
        <w:t>** كما في تاريخ 31 ديسمبر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2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21"/>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r>
              <w:rPr>
                <w:rFonts w:ascii="Arial" w:hAnsi="Arial" w:cs="Arial" w:eastAsia="Arial"/>
                <w:b/>
                <w:bCs/>
                <w:color w:val="FFFFFF"/>
                <w:sz w:val="17"/>
                <w:szCs w:val="17"/>
                <w:rtl/>
              </w:rPr>
              <w:t>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‎1.83%‎</w:t>
            </w:r>
          </w:p>
        </w:tc>
        <w:tc>
          <w:tcPr>
            <w:tcW w:type="dxa" w:w="1663"/>
          </w:tcPr>
          <w:p>
            <w:pPr>
              <w:bidi w:val="1"/>
              <w:spacing w:before="0" w:after="0" w:line="264" w:lineRule="auto"/>
            </w:pPr>
            <w:r>
              <w:rPr>
                <w:rFonts w:ascii="Arial" w:hAnsi="Arial" w:cs="Arial" w:eastAsia="Arial"/>
                <w:color w:val="0E1E3A"/>
                <w:sz w:val="17"/>
                <w:szCs w:val="17"/>
              </w:rPr>
              <w:t>‎2.71%‎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‎1.16%‎</w:t>
            </w:r>
          </w:p>
        </w:tc>
        <w:tc>
          <w:tcPr>
            <w:tcW w:type="dxa" w:w="1663"/>
          </w:tcPr>
          <w:p>
            <w:pPr>
              <w:bidi w:val="1"/>
              <w:spacing w:before="0" w:after="0" w:line="264" w:lineRule="auto"/>
            </w:pPr>
            <w:r>
              <w:rPr>
                <w:rFonts w:ascii="Arial" w:hAnsi="Arial" w:cs="Arial" w:eastAsia="Arial"/>
                <w:color w:val="0E1E3A"/>
                <w:sz w:val="17"/>
                <w:szCs w:val="17"/>
              </w:rPr>
              <w:t>‎2.16%‎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‎0.67%‎</w:t>
            </w:r>
          </w:p>
        </w:tc>
        <w:tc>
          <w:tcPr>
            <w:tcW w:type="dxa" w:w="1663"/>
          </w:tcPr>
          <w:p>
            <w:pPr>
              <w:bidi w:val="1"/>
              <w:spacing w:before="0" w:after="0" w:line="264" w:lineRule="auto"/>
            </w:pPr>
            <w:r>
              <w:rPr>
                <w:rFonts w:ascii="Arial" w:hAnsi="Arial" w:cs="Arial" w:eastAsia="Arial"/>
                <w:color w:val="0E1E3A"/>
                <w:sz w:val="17"/>
                <w:szCs w:val="17"/>
              </w:rPr>
              <w:t>‎0.55%‎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30 سبتمبر 2024م إلى 31 ديسمبر 2024م</w:t>
      </w:r>
      <w:r>
        <w:br/>
      </w:r>
      <w:r>
        <w:rPr>
          <w:rFonts w:ascii="Arial" w:hAnsi="Arial" w:cs="Arial" w:eastAsia="Arial"/>
          <w:color w:val="5A6478"/>
          <w:sz w:val="17"/>
          <w:szCs w:val="17"/>
          <w:rtl/>
        </w:rPr>
        <w:t>* لا ينطبق كما في تاريخ الإدراج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r>
              <w:rPr>
                <w:rFonts w:ascii="Arial" w:hAnsi="Arial" w:cs="Arial" w:eastAsia="Arial"/>
                <w:b/>
                <w:bCs/>
                <w:color w:val="FFFFFF"/>
                <w:sz w:val="17"/>
                <w:szCs w:val="17"/>
                <w:rtl/>
              </w:rPr>
              <w:t>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r>
              <w:rPr>
                <w:rFonts w:ascii="Arial" w:hAnsi="Arial" w:cs="Arial" w:eastAsia="Arial"/>
                <w:b/>
                <w:bCs/>
                <w:color w:val="FFFFFF"/>
                <w:sz w:val="17"/>
                <w:szCs w:val="17"/>
                <w:rtl/>
              </w:rPr>
              <w:t>2</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6.84</w:t>
            </w:r>
          </w:p>
        </w:tc>
        <w:tc>
          <w:tcPr>
            <w:tcW w:type="dxa" w:w="1663"/>
          </w:tcPr>
          <w:p>
            <w:pPr>
              <w:bidi w:val="1"/>
              <w:spacing w:before="0" w:after="0" w:line="264" w:lineRule="auto"/>
            </w:pPr>
            <w:r>
              <w:rPr>
                <w:rFonts w:ascii="Arial" w:hAnsi="Arial" w:cs="Arial" w:eastAsia="Arial"/>
                <w:color w:val="0E1E3A"/>
                <w:sz w:val="17"/>
                <w:szCs w:val="17"/>
                <w:rtl/>
              </w:rPr>
              <w:t>24.25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1.26-</w:t>
            </w:r>
          </w:p>
        </w:tc>
        <w:tc>
          <w:tcPr>
            <w:tcW w:type="dxa" w:w="1663"/>
          </w:tcPr>
          <w:p>
            <w:pPr>
              <w:bidi w:val="1"/>
              <w:spacing w:before="0" w:after="0" w:line="264" w:lineRule="auto"/>
            </w:pPr>
            <w:r>
              <w:rPr>
                <w:rFonts w:ascii="Arial" w:hAnsi="Arial" w:cs="Arial" w:eastAsia="Arial"/>
                <w:color w:val="0E1E3A"/>
                <w:sz w:val="17"/>
                <w:szCs w:val="17"/>
                <w:rtl/>
              </w:rPr>
              <w:t>1.70-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w:t>
            </w:r>
          </w:p>
        </w:tc>
        <w:tc>
          <w:tcPr>
            <w:tcW w:type="dxa" w:w="1663"/>
          </w:tcPr>
          <w:p>
            <w:pPr>
              <w:bidi w:val="1"/>
              <w:spacing w:before="0" w:after="0" w:line="264" w:lineRule="auto"/>
            </w:pPr>
            <w:r>
              <w:rPr>
                <w:rFonts w:ascii="Arial" w:hAnsi="Arial" w:cs="Arial" w:eastAsia="Arial"/>
                <w:color w:val="0E1E3A"/>
                <w:sz w:val="17"/>
                <w:szCs w:val="17"/>
                <w:rtl/>
              </w:rPr>
              <w:t>6.84</w:t>
            </w:r>
          </w:p>
        </w:tc>
        <w:tc>
          <w:tcPr>
            <w:tcW w:type="dxa" w:w="1663"/>
          </w:tcPr>
          <w:p>
            <w:pPr>
              <w:bidi w:val="1"/>
              <w:spacing w:before="0" w:after="0" w:line="264" w:lineRule="auto"/>
            </w:pPr>
            <w:r>
              <w:rPr>
                <w:rFonts w:ascii="Arial" w:hAnsi="Arial" w:cs="Arial" w:eastAsia="Arial"/>
                <w:color w:val="0E1E3A"/>
                <w:sz w:val="17"/>
                <w:szCs w:val="17"/>
                <w:rtl/>
              </w:rPr>
              <w:t>24.25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w:t>
            </w:r>
          </w:p>
        </w:tc>
        <w:tc>
          <w:tcPr>
            <w:tcW w:type="dxa" w:w="1663"/>
          </w:tcPr>
          <w:p>
            <w:pPr>
              <w:bidi w:val="1"/>
              <w:spacing w:before="0" w:after="0" w:line="264" w:lineRule="auto"/>
            </w:pPr>
            <w:r>
              <w:rPr>
                <w:rFonts w:ascii="Arial" w:hAnsi="Arial" w:cs="Arial" w:eastAsia="Arial"/>
                <w:color w:val="0E1E3A"/>
                <w:sz w:val="17"/>
                <w:szCs w:val="17"/>
                <w:rtl/>
              </w:rPr>
              <w:t>0.71</w:t>
            </w:r>
          </w:p>
        </w:tc>
        <w:tc>
          <w:tcPr>
            <w:tcW w:type="dxa" w:w="1663"/>
          </w:tcPr>
          <w:p>
            <w:pPr>
              <w:bidi w:val="1"/>
              <w:spacing w:before="0" w:after="0" w:line="264" w:lineRule="auto"/>
            </w:pPr>
            <w:r>
              <w:rPr>
                <w:rFonts w:ascii="Arial" w:hAnsi="Arial" w:cs="Arial" w:eastAsia="Arial"/>
                <w:color w:val="0E1E3A"/>
                <w:sz w:val="17"/>
                <w:szCs w:val="17"/>
                <w:rtl/>
              </w:rPr>
              <w:t>1.27-</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w:t>
            </w:r>
          </w:p>
        </w:tc>
        <w:tc>
          <w:tcPr>
            <w:tcW w:type="dxa" w:w="1663"/>
          </w:tcPr>
          <w:p>
            <w:pPr>
              <w:bidi w:val="1"/>
              <w:spacing w:before="0" w:after="0" w:line="264" w:lineRule="auto"/>
            </w:pPr>
            <w:r>
              <w:rPr>
                <w:rFonts w:ascii="Arial" w:hAnsi="Arial" w:cs="Arial" w:eastAsia="Arial"/>
                <w:color w:val="0E1E3A"/>
                <w:sz w:val="17"/>
                <w:szCs w:val="17"/>
                <w:rtl/>
              </w:rPr>
              <w:t>0.04-</w:t>
            </w:r>
          </w:p>
        </w:tc>
        <w:tc>
          <w:tcPr>
            <w:tcW w:type="dxa" w:w="1663"/>
          </w:tcPr>
          <w:p>
            <w:pPr>
              <w:bidi w:val="1"/>
              <w:spacing w:before="0" w:after="0" w:line="264" w:lineRule="auto"/>
            </w:pPr>
            <w:r>
              <w:rPr>
                <w:rFonts w:ascii="Arial" w:hAnsi="Arial" w:cs="Arial" w:eastAsia="Arial"/>
                <w:color w:val="0E1E3A"/>
                <w:sz w:val="17"/>
                <w:szCs w:val="17"/>
                <w:rtl/>
              </w:rPr>
              <w:t>0.44-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Pr>
              <w:t>‎-0.55%‎</w:t>
            </w:r>
          </w:p>
        </w:tc>
        <w:tc>
          <w:tcPr>
            <w:tcW w:type="dxa" w:w="1663"/>
          </w:tcPr>
          <w:p>
            <w:pPr>
              <w:bidi w:val="1"/>
              <w:spacing w:before="0" w:after="0" w:line="264" w:lineRule="auto"/>
            </w:pPr>
            <w:r>
              <w:rPr>
                <w:rFonts w:ascii="Arial" w:hAnsi="Arial" w:cs="Arial" w:eastAsia="Arial"/>
                <w:color w:val="0E1E3A"/>
                <w:sz w:val="17"/>
                <w:szCs w:val="17"/>
              </w:rPr>
              <w:t>‎-1.84%‎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30 سبتمبر 2024م إلى 31 ديسمبر 2024م.</w:t>
      </w:r>
      <w:r>
        <w:br/>
      </w:r>
      <w:r>
        <w:rPr>
          <w:rFonts w:ascii="Arial" w:hAnsi="Arial" w:cs="Arial" w:eastAsia="Arial"/>
          <w:color w:val="5A6478"/>
          <w:sz w:val="17"/>
          <w:szCs w:val="17"/>
          <w:rtl/>
        </w:rPr>
        <w:t>2 عن الفترة من 17 يوليو 2024م إلى 31 ديسمبر 2024م.</w:t>
      </w:r>
      <w:r>
        <w:br/>
      </w:r>
      <w:r>
        <w:rPr>
          <w:rFonts w:ascii="Arial" w:hAnsi="Arial" w:cs="Arial" w:eastAsia="Arial"/>
          <w:color w:val="5A6478"/>
          <w:sz w:val="17"/>
          <w:szCs w:val="17"/>
          <w:rtl/>
        </w:rPr>
        <w:t>* لا ينطبق كما في تاريخ الإدراج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23"/>
            <wp:cNvGraphicFramePr>
              <a:graphicFrameLocks noChangeAspect="1"/>
            </wp:cNvGraphicFramePr>
            <a:graphic>
              <a:graphicData uri="http://schemas.openxmlformats.org/drawingml/2006/picture">
                <pic:pic>
                  <pic:nvPicPr>
                    <pic:cNvPr id="0" name="ico_c788ceab6c6867ef93d8dd6b26beef99.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توجد مستجدات أو تغيرات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2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5" name="Picture 9025"/>
            <wp:cNvGraphicFramePr>
              <a:graphicFrameLocks noChangeAspect="1"/>
            </wp:cNvGraphicFramePr>
            <a:graphic>
              <a:graphicData uri="http://schemas.openxmlformats.org/drawingml/2006/picture">
                <pic:pic>
                  <pic:nvPicPr>
                    <pic:cNvPr id="0" name="x6.j.jpg"/>
                    <pic:cNvPicPr/>
                  </pic:nvPicPr>
                  <pic:blipFill>
                    <a:blip r:embed="rId24"/>
                    <a:stretch>
                      <a:fillRect/>
                    </a:stretch>
                  </pic:blipFill>
                  <pic:spPr>
                    <a:xfrm>
                      <a:off x="0" y="0"/>
                      <a:ext cx="6336000" cy="282551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26"/>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27"/>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2030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2030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2030 المتداول — البيان الربع سنوي الربع الرابع 2024م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