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1"/>
            <wp:cNvGraphicFramePr/>
            <a:graphic>
              <a:graphicData uri="http://schemas.openxmlformats.org/drawingml/2006/picture">
                <pic:pic>
                  <pic:nvPicPr>
                    <pic:cNvPr id="9001" name="banner900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2030 (“the Fund”) is a public closed-ended Shari’a-compliant investment traded fund established in accordance with the Investment Funds Regulations and the applicable laws and regulations of the Kingdom of Saudi Arabia and regulated by the Capital Market Authority (CMA). The Fund’s investment objective is to generate periodic income to investors by investing in income generating assets using a Shari’a-compliant investment structure. The Fund Manager “Alkhabeer Capital” plans to invest in Sukuk, trade finance transactions, leasing transactions, structured income instruments, asset backed debts,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4702</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AKDI2030:AB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6 years, starting as from the Listing Date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10.2708</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315,727,571</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FUND MANAGER’S INVESTMENT VALUE AT THE END OF THE REPORTING QUARTER</w:t>
            </w:r>
          </w:p>
        </w:tc>
        <w:tc>
          <w:tcPr>
            <w:tcW w:type="dxa" w:w="6860"/>
          </w:tcPr>
          <w:p>
            <w:pPr>
              <w:spacing w:before="0" w:after="0" w:line="276" w:lineRule="auto"/>
            </w:pPr>
            <w:r>
              <w:rPr>
                <w:rFonts w:ascii="Arial" w:hAnsi="Arial" w:cs="Arial" w:eastAsia="Arial"/>
                <w:b/>
                <w:bCs/>
                <w:color w:val="0E1E3A"/>
                <w:sz w:val="18"/>
                <w:szCs w:val="18"/>
              </w:rPr>
              <w:t>SAR 51,353,778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0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is 1.9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Semi-annually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315,727,571</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313,726,754</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0.40%</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1,228,154</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2024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310,901,098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0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549622"/>
            <wp:docPr id="10" name="Picture 9010"/>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549622"/>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ASSET BACKED DEBTS PORTFOLIO TOTAL VALUE</w:t>
            </w:r>
          </w:p>
        </w:tc>
        <w:tc>
          <w:tcPr>
            <w:tcW w:type="dxa" w:w="6860"/>
          </w:tcPr>
          <w:p>
            <w:pPr>
              <w:spacing w:before="0" w:after="0" w:line="276" w:lineRule="auto"/>
            </w:pPr>
            <w:r>
              <w:rPr>
                <w:rFonts w:ascii="Arial" w:hAnsi="Arial" w:cs="Arial" w:eastAsia="Arial"/>
                <w:b/>
                <w:bCs/>
                <w:color w:val="0E1E3A"/>
                <w:sz w:val="18"/>
                <w:szCs w:val="18"/>
              </w:rPr>
              <w:t>SAR 59,341,429</w:t>
            </w:r>
          </w:p>
        </w:tc>
      </w:tr>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91,372,670</w:t>
            </w:r>
          </w:p>
        </w:tc>
      </w:tr>
      <w:tr>
        <w:tc>
          <w:tcPr>
            <w:tcW w:type="dxa" w:w="3118"/>
            <w:shd w:val="clear" w:color="auto" w:fill="F3F6FB"/>
          </w:tcPr>
          <w:p>
            <w:pPr>
              <w:spacing w:before="0" w:after="0" w:line="276" w:lineRule="auto"/>
            </w:pPr>
            <w:r>
              <w:rPr>
                <w:rFonts w:ascii="Arial" w:hAnsi="Arial" w:cs="Arial" w:eastAsia="Arial"/>
                <w:color w:val="5A6478"/>
                <w:sz w:val="18"/>
                <w:szCs w:val="18"/>
              </w:rPr>
              <w:t>STRUCTURED INCOME PORTFOLIO TOTAL VALUE</w:t>
            </w:r>
          </w:p>
        </w:tc>
        <w:tc>
          <w:tcPr>
            <w:tcW w:type="dxa" w:w="6860"/>
          </w:tcPr>
          <w:p>
            <w:pPr>
              <w:spacing w:before="0" w:after="0" w:line="276" w:lineRule="auto"/>
            </w:pPr>
            <w:r>
              <w:rPr>
                <w:rFonts w:ascii="Arial" w:hAnsi="Arial" w:cs="Arial" w:eastAsia="Arial"/>
                <w:b/>
                <w:bCs/>
                <w:color w:val="0E1E3A"/>
                <w:sz w:val="18"/>
                <w:szCs w:val="18"/>
              </w:rPr>
              <w:t>SAR 124,636,914</w:t>
            </w:r>
          </w:p>
        </w:tc>
      </w:tr>
      <w:tr>
        <w:tc>
          <w:tcPr>
            <w:tcW w:type="dxa" w:w="3118"/>
            <w:shd w:val="clear" w:color="auto" w:fill="F3F6FB"/>
          </w:tcPr>
          <w:p>
            <w:pPr>
              <w:spacing w:before="0" w:after="0" w:line="276" w:lineRule="auto"/>
            </w:pPr>
            <w:r>
              <w:rPr>
                <w:rFonts w:ascii="Arial" w:hAnsi="Arial" w:cs="Arial" w:eastAsia="Arial"/>
                <w:color w:val="5A6478"/>
                <w:sz w:val="18"/>
                <w:szCs w:val="18"/>
              </w:rPr>
              <w:t>LEASING INCOME PORTFOLIO TOTAL VALUE</w:t>
            </w:r>
          </w:p>
        </w:tc>
        <w:tc>
          <w:tcPr>
            <w:tcW w:type="dxa" w:w="6860"/>
          </w:tcPr>
          <w:p>
            <w:pPr>
              <w:spacing w:before="0" w:after="0" w:line="276" w:lineRule="auto"/>
            </w:pPr>
            <w:r>
              <w:rPr>
                <w:rFonts w:ascii="Arial" w:hAnsi="Arial" w:cs="Arial" w:eastAsia="Arial"/>
                <w:b/>
                <w:bCs/>
                <w:color w:val="0E1E3A"/>
                <w:sz w:val="18"/>
                <w:szCs w:val="18"/>
              </w:rPr>
              <w:t>SAR 39,044,715</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933,056</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398,787</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227,564,981</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226,037,699</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3"/>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4" name="Picture 9014"/>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2024)</w:t>
            </w:r>
          </w:p>
        </w:tc>
        <w:tc>
          <w:tcPr>
            <w:tcW w:type="dxa" w:w="6860"/>
          </w:tcPr>
          <w:p>
            <w:pPr>
              <w:spacing w:before="0" w:after="0" w:line="276" w:lineRule="auto"/>
            </w:pPr>
            <w:r>
              <w:rPr>
                <w:rFonts w:ascii="Arial" w:hAnsi="Arial" w:cs="Arial" w:eastAsia="Arial"/>
                <w:b/>
                <w:bCs/>
                <w:color w:val="0E1E3A"/>
                <w:sz w:val="18"/>
                <w:szCs w:val="18"/>
              </w:rPr>
              <w:t>SAR 7.40</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w:t>
            </w:r>
          </w:p>
        </w:tc>
        <w:tc>
          <w:tcPr>
            <w:tcW w:type="dxa" w:w="6860"/>
          </w:tcPr>
          <w:p>
            <w:pPr>
              <w:spacing w:before="0" w:after="0" w:line="276" w:lineRule="auto"/>
            </w:pPr>
            <w:r>
              <w:rPr>
                <w:rFonts w:ascii="Arial" w:hAnsi="Arial" w:cs="Arial" w:eastAsia="Arial"/>
                <w:b/>
                <w:bCs/>
                <w:color w:val="0E1E3A"/>
                <w:sz w:val="18"/>
                <w:szCs w:val="18"/>
              </w:rPr>
              <w:t>-0.67%</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2024)</w:t>
            </w:r>
          </w:p>
        </w:tc>
        <w:tc>
          <w:tcPr>
            <w:tcW w:type="dxa" w:w="6860"/>
          </w:tcPr>
          <w:p>
            <w:pPr>
              <w:spacing w:before="0" w:after="0" w:line="276" w:lineRule="auto"/>
            </w:pPr>
            <w:r>
              <w:rPr>
                <w:rFonts w:ascii="Arial" w:hAnsi="Arial" w:cs="Arial" w:eastAsia="Arial"/>
                <w:b/>
                <w:bCs/>
                <w:color w:val="0E1E3A"/>
                <w:sz w:val="18"/>
                <w:szCs w:val="18"/>
              </w:rPr>
              <w:t>-26.00%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10.00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7.01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*Unit Price as at 30 September 2024 = SAR 7.45.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p>
      <w:pPr>
        <w:pStyle w:val="Heading3"/>
        <w:keepNext/>
        <w:spacing w:before="160" w:after="100" w:line="300" w:lineRule="auto"/>
      </w:pPr>
      <w:r>
        <w:rPr>
          <w:rFonts w:ascii="Arial" w:hAnsi="Arial" w:cs="Arial" w:eastAsia="Arial"/>
          <w:b/>
          <w:bCs/>
          <w:color w:val="12284B"/>
          <w:sz w:val="22"/>
          <w:szCs w:val="22"/>
        </w:rPr>
        <w:t>DIVIDEND DISTRIBUTION POLICY</w:t>
      </w:r>
    </w:p>
    <w:p>
      <w:pPr>
        <w:spacing w:before="0" w:after="80" w:line="312" w:lineRule="auto"/>
      </w:pPr>
      <w:r>
        <w:rPr>
          <w:rFonts w:ascii="Arial" w:hAnsi="Arial" w:cs="Arial" w:eastAsia="Arial"/>
          <w:color w:val="0E1E3A"/>
          <w:sz w:val="20"/>
          <w:szCs w:val="20"/>
        </w:rPr>
        <w:t>The Fund Manager will distribute returns on Fund investments (after deducting expenses, provisions and reserves) to Fund Unitholders semi-annually, with the exception of capital gains resulting from the sale of underlying assets, which may be reinvested in other assets or distributed in whole or in part at the Fund Manager’s discretion. The Fund will distribute dividends within (40) business days after the last day of each semi-annual period and at the end of each Gregorian year. The Fund Manager may distribute the returns on the Fund’s investments, after deducting expenses and provisions, to Unitholders more than twice per year at the Fund Manager’s discretion.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6,872,869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(31 DECEMBER 2024)</w:t>
            </w:r>
          </w:p>
        </w:tc>
        <w:tc>
          <w:tcPr>
            <w:tcW w:type="dxa" w:w="6860"/>
          </w:tcPr>
          <w:p>
            <w:pPr>
              <w:spacing w:before="0" w:after="0" w:line="276" w:lineRule="auto"/>
            </w:pPr>
            <w:r>
              <w:rPr>
                <w:rFonts w:ascii="Arial" w:hAnsi="Arial" w:cs="Arial" w:eastAsia="Arial"/>
                <w:b/>
                <w:bCs/>
                <w:color w:val="0E1E3A"/>
                <w:sz w:val="18"/>
                <w:szCs w:val="18"/>
              </w:rPr>
              <w:t>3.04%</w:t>
            </w:r>
          </w:p>
        </w:tc>
      </w:tr>
    </w:tbl>
    <w:p>
      <w:pPr>
        <w:spacing w:before="0" w:after="40" w:line="300" w:lineRule="auto"/>
      </w:pPr>
    </w:p>
    <w:p>
      <w:pPr>
        <w:spacing w:before="0" w:after="80" w:line="312" w:lineRule="auto"/>
      </w:pPr>
      <w:r>
        <w:rPr>
          <w:rFonts w:ascii="Arial" w:hAnsi="Arial" w:cs="Arial" w:eastAsia="Arial"/>
          <w:color w:val="5A6478"/>
          <w:sz w:val="17"/>
          <w:szCs w:val="17"/>
        </w:rPr>
        <w:t>* From 30 September 2024 to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17"/>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Dow Jones Sukuk Investment Grade Total Return + 30% of the Secured Overnight Financing Rate for three months (SOFR 3M), which is a Shari’a compliant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 *</w:t>
            </w:r>
          </w:p>
        </w:tc>
        <w:tc>
          <w:tcPr>
            <w:tcW w:type="dxa" w:w="6860"/>
          </w:tcPr>
          <w:p>
            <w:pPr>
              <w:spacing w:before="0" w:after="0" w:line="276" w:lineRule="auto"/>
            </w:pPr>
            <w:r>
              <w:rPr>
                <w:rFonts w:ascii="Arial" w:hAnsi="Arial" w:cs="Arial" w:eastAsia="Arial"/>
                <w:b/>
                <w:bCs/>
                <w:color w:val="0E1E3A"/>
                <w:sz w:val="18"/>
                <w:szCs w:val="18"/>
              </w:rPr>
              <w:t>-0.67%</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 *</w:t>
            </w:r>
          </w:p>
        </w:tc>
        <w:tc>
          <w:tcPr>
            <w:tcW w:type="dxa" w:w="6860"/>
          </w:tcPr>
          <w:p>
            <w:pPr>
              <w:spacing w:before="0" w:after="0" w:line="276" w:lineRule="auto"/>
            </w:pPr>
            <w:r>
              <w:rPr>
                <w:rFonts w:ascii="Arial" w:hAnsi="Arial" w:cs="Arial" w:eastAsia="Arial"/>
                <w:b/>
                <w:bCs/>
                <w:color w:val="0E1E3A"/>
                <w:sz w:val="18"/>
                <w:szCs w:val="18"/>
              </w:rPr>
              <w:t>-26.00%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-26.00%</w:t>
            </w:r>
          </w:p>
        </w:tc>
      </w:tr>
    </w:tbl>
    <w:p>
      <w:pPr>
        <w:spacing w:before="0" w:after="40" w:line="300" w:lineRule="auto"/>
      </w:pPr>
    </w:p>
    <w:p>
      <w:pPr>
        <w:spacing w:before="0" w:after="80" w:line="312" w:lineRule="auto"/>
      </w:pPr>
      <w:r>
        <w:rPr>
          <w:rFonts w:ascii="Arial" w:hAnsi="Arial" w:cs="Arial" w:eastAsia="Arial"/>
          <w:color w:val="5A6478"/>
          <w:sz w:val="17"/>
          <w:szCs w:val="17"/>
        </w:rPr>
        <w:t>* From the listing date of 17 July 2024 to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1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a composite index comprised of 70% of the Dow Jones Sukuk Investment Grade Total Return + 30% of the Secured Overnight Financing Rate for three months (SOFR 3M), which is a Shari’a compliant benchmark.</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19"/>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BENCHMARK</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 *</w:t>
            </w:r>
          </w:p>
        </w:tc>
        <w:tc>
          <w:tcPr>
            <w:tcW w:type="dxa" w:w="3326"/>
          </w:tcPr>
          <w:p>
            <w:pPr>
              <w:spacing w:before="0" w:after="0" w:line="264" w:lineRule="auto"/>
            </w:pPr>
            <w:r>
              <w:rPr>
                <w:rFonts w:ascii="Arial" w:hAnsi="Arial" w:cs="Arial" w:eastAsia="Arial"/>
                <w:color w:val="0E1E3A"/>
                <w:sz w:val="17"/>
                <w:szCs w:val="17"/>
              </w:rPr>
              <w:t>10.0857</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 **</w:t>
            </w:r>
          </w:p>
        </w:tc>
        <w:tc>
          <w:tcPr>
            <w:tcW w:type="dxa" w:w="3326"/>
          </w:tcPr>
          <w:p>
            <w:pPr>
              <w:spacing w:before="0" w:after="0" w:line="264" w:lineRule="auto"/>
            </w:pPr>
            <w:r>
              <w:rPr>
                <w:rFonts w:ascii="Arial" w:hAnsi="Arial" w:cs="Arial" w:eastAsia="Arial"/>
                <w:color w:val="0E1E3A"/>
                <w:sz w:val="17"/>
                <w:szCs w:val="17"/>
              </w:rPr>
              <w:t>10.2708</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1.83%</w:t>
            </w:r>
          </w:p>
        </w:tc>
        <w:tc>
          <w:tcPr>
            <w:tcW w:type="dxa" w:w="3326"/>
          </w:tcPr>
          <w:p>
            <w:pPr>
              <w:spacing w:before="0" w:after="0" w:line="264" w:lineRule="auto"/>
            </w:pPr>
            <w:r>
              <w:rPr>
                <w:rFonts w:ascii="Arial" w:hAnsi="Arial" w:cs="Arial" w:eastAsia="Arial"/>
                <w:color w:val="0E1E3A"/>
                <w:sz w:val="17"/>
                <w:szCs w:val="17"/>
              </w:rPr>
              <w:t>1.16%</w:t>
            </w:r>
          </w:p>
        </w:tc>
      </w:tr>
    </w:tbl>
    <w:p>
      <w:pPr>
        <w:spacing w:before="0" w:after="40" w:line="300" w:lineRule="auto"/>
      </w:pPr>
    </w:p>
    <w:p>
      <w:pPr>
        <w:spacing w:before="0" w:after="80" w:line="312" w:lineRule="auto"/>
      </w:pPr>
      <w:r>
        <w:rPr>
          <w:rFonts w:ascii="Arial" w:hAnsi="Arial" w:cs="Arial" w:eastAsia="Arial"/>
          <w:color w:val="5A6478"/>
          <w:sz w:val="17"/>
          <w:szCs w:val="17"/>
        </w:rPr>
        <w:t>* As at 30 September 2024.</w:t>
      </w:r>
      <w:r>
        <w:br/>
      </w:r>
      <w:r>
        <w:rPr>
          <w:rFonts w:ascii="Arial" w:hAnsi="Arial" w:cs="Arial" w:eastAsia="Arial"/>
          <w:color w:val="5A6478"/>
          <w:sz w:val="17"/>
          <w:szCs w:val="17"/>
        </w:rPr>
        <w:t>** As at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1.83%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1.16%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0.67%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30 September 2024 to 31 December 2024.</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6.84</w:t>
            </w:r>
          </w:p>
        </w:tc>
        <w:tc>
          <w:tcPr>
            <w:tcW w:type="dxa" w:w="1663"/>
          </w:tcPr>
          <w:p>
            <w:pPr>
              <w:spacing w:before="0" w:after="0" w:line="264" w:lineRule="auto"/>
            </w:pPr>
            <w:r>
              <w:rPr>
                <w:rFonts w:ascii="Arial" w:hAnsi="Arial" w:cs="Arial" w:eastAsia="Arial"/>
                <w:color w:val="0E1E3A"/>
                <w:sz w:val="17"/>
                <w:szCs w:val="17"/>
              </w:rPr>
              <w:t>24.25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-1.26</w:t>
            </w:r>
          </w:p>
        </w:tc>
        <w:tc>
          <w:tcPr>
            <w:tcW w:type="dxa" w:w="1663"/>
          </w:tcPr>
          <w:p>
            <w:pPr>
              <w:spacing w:before="0" w:after="0" w:line="264" w:lineRule="auto"/>
            </w:pPr>
            <w:r>
              <w:rPr>
                <w:rFonts w:ascii="Arial" w:hAnsi="Arial" w:cs="Arial" w:eastAsia="Arial"/>
                <w:color w:val="0E1E3A"/>
                <w:sz w:val="17"/>
                <w:szCs w:val="17"/>
              </w:rPr>
              <w:t>-1.70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6.84</w:t>
            </w:r>
          </w:p>
        </w:tc>
        <w:tc>
          <w:tcPr>
            <w:tcW w:type="dxa" w:w="1663"/>
          </w:tcPr>
          <w:p>
            <w:pPr>
              <w:spacing w:before="0" w:after="0" w:line="264" w:lineRule="auto"/>
            </w:pPr>
            <w:r>
              <w:rPr>
                <w:rFonts w:ascii="Arial" w:hAnsi="Arial" w:cs="Arial" w:eastAsia="Arial"/>
                <w:color w:val="0E1E3A"/>
                <w:sz w:val="17"/>
                <w:szCs w:val="17"/>
              </w:rPr>
              <w:t>24.25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0.71</w:t>
            </w:r>
          </w:p>
        </w:tc>
        <w:tc>
          <w:tcPr>
            <w:tcW w:type="dxa" w:w="1663"/>
          </w:tcPr>
          <w:p>
            <w:pPr>
              <w:spacing w:before="0" w:after="0" w:line="264" w:lineRule="auto"/>
            </w:pPr>
            <w:r>
              <w:rPr>
                <w:rFonts w:ascii="Arial" w:hAnsi="Arial" w:cs="Arial" w:eastAsia="Arial"/>
                <w:color w:val="0E1E3A"/>
                <w:sz w:val="17"/>
                <w:szCs w:val="17"/>
              </w:rPr>
              <w:t>-1.27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-0.04</w:t>
            </w:r>
          </w:p>
        </w:tc>
        <w:tc>
          <w:tcPr>
            <w:tcW w:type="dxa" w:w="1663"/>
          </w:tcPr>
          <w:p>
            <w:pPr>
              <w:spacing w:before="0" w:after="0" w:line="264" w:lineRule="auto"/>
            </w:pPr>
            <w:r>
              <w:rPr>
                <w:rFonts w:ascii="Arial" w:hAnsi="Arial" w:cs="Arial" w:eastAsia="Arial"/>
                <w:color w:val="0E1E3A"/>
                <w:sz w:val="17"/>
                <w:szCs w:val="17"/>
              </w:rPr>
              <w:t>-0.44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-0.55</w:t>
            </w:r>
          </w:p>
        </w:tc>
        <w:tc>
          <w:tcPr>
            <w:tcW w:type="dxa" w:w="1663"/>
          </w:tcPr>
          <w:p>
            <w:pPr>
              <w:spacing w:before="0" w:after="0" w:line="264" w:lineRule="auto"/>
            </w:pPr>
            <w:r>
              <w:rPr>
                <w:rFonts w:ascii="Arial" w:hAnsi="Arial" w:cs="Arial" w:eastAsia="Arial"/>
                <w:color w:val="0E1E3A"/>
                <w:sz w:val="17"/>
                <w:szCs w:val="17"/>
              </w:rPr>
              <w:t>-1.84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30 September 2024 to 31 December 2024.</w:t>
      </w:r>
      <w:r>
        <w:br/>
      </w:r>
      <w:r>
        <w:rPr>
          <w:rFonts w:ascii="Arial" w:hAnsi="Arial" w:cs="Arial" w:eastAsia="Arial"/>
          <w:color w:val="5A6478"/>
          <w:sz w:val="17"/>
          <w:szCs w:val="17"/>
        </w:rPr>
        <w:t>2 For the period from 17 July 2024 to 31 December 2024.</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3"/>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5" name="Picture 9025"/>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Fund’s 2030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Q4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