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03"/>
            <wp:cNvGraphicFramePr/>
            <a:graphic>
              <a:graphicData uri="http://schemas.openxmlformats.org/drawingml/2006/picture">
                <pic:pic>
                  <pic:nvPicPr>
                    <pic:cNvPr id="9003" name="banner9003.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04"/>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أ.</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هدف الصندوق:</w:t>
      </w:r>
    </w:p>
    <w:p>
      <w:pPr>
        <w:bidi w:val="1"/>
        <w:spacing w:before="0" w:after="80" w:line="312" w:lineRule="auto"/>
      </w:pPr>
      <w:r>
        <w:rPr>
          <w:rFonts w:ascii="Arial" w:hAnsi="Arial" w:cs="Arial" w:eastAsia="Arial"/>
          <w:color w:val="0E1E3A"/>
          <w:sz w:val="20"/>
          <w:szCs w:val="20"/>
          <w:rtl/>
        </w:rPr>
        <w:t>يتمثل الهدف الاستثماري للصندوق في تحقيق دخل دوري للمستثمرين من خلال الاستثمار في أصول مدرّة للدخل؛ من خلال هيكل استثماري متوافق مع ضوابط لجنة الرقابة الشرعية. وينوي مدير الصندوق "الخبير المالية" الاستثمار في الصكوك، وصفقات عقود التمويل التجاري، وصفقات الإجارة، وأدوات الدخل المهيكلة، والديون المدعومة بالأصول،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0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ب.</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17 يوليو 2024م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عند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10.3458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الصندوق *</w:t>
            </w:r>
          </w:p>
        </w:tc>
        <w:tc>
          <w:tcPr>
            <w:tcW w:type="dxa" w:w="6860"/>
          </w:tcPr>
          <w:p>
            <w:pPr>
              <w:bidi w:val="1"/>
              <w:spacing w:before="0" w:after="0" w:line="276" w:lineRule="auto"/>
            </w:pPr>
            <w:r>
              <w:rPr>
                <w:rFonts w:ascii="Arial" w:hAnsi="Arial" w:cs="Arial" w:eastAsia="Arial"/>
                <w:b/>
                <w:bCs/>
                <w:color w:val="0E1E3A"/>
                <w:sz w:val="18"/>
                <w:szCs w:val="18"/>
                <w:rtl/>
              </w:rPr>
              <w:t>318,188,074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 xml:space="preserve">مؤشر مركب من معدل </w:t>
            </w:r>
            <w:r>
              <w:rPr>
                <w:rFonts w:ascii="Arial" w:hAnsi="Arial" w:cs="Arial" w:eastAsia="Arial"/>
                <w:b/>
                <w:bCs/>
                <w:color w:val="0E1E3A"/>
                <w:sz w:val="18"/>
                <w:szCs w:val="18"/>
              </w:rPr>
              <w:t>‎70%‎</w:t>
            </w:r>
            <w:r>
              <w:rPr>
                <w:rFonts w:ascii="Arial" w:hAnsi="Arial" w:cs="Arial" w:eastAsia="Arial"/>
                <w:b/>
                <w:bCs/>
                <w:color w:val="0E1E3A"/>
                <w:sz w:val="18"/>
                <w:szCs w:val="18"/>
                <w:rtl/>
              </w:rPr>
              <w:t xml:space="preserve"> من العائد على مؤشر داو جونز للعائد الإجمالي على الصكوك </w:t>
            </w:r>
            <w:r>
              <w:rPr>
                <w:rFonts w:ascii="Arial" w:hAnsi="Arial" w:cs="Arial" w:eastAsia="Arial"/>
                <w:b/>
                <w:bCs/>
                <w:color w:val="0E1E3A"/>
                <w:sz w:val="18"/>
                <w:szCs w:val="18"/>
              </w:rPr>
              <w:t>‎30%‎</w:t>
            </w:r>
            <w:r>
              <w:rPr>
                <w:rFonts w:ascii="Arial" w:hAnsi="Arial" w:cs="Arial" w:eastAsia="Arial"/>
                <w:b/>
                <w:bCs/>
                <w:color w:val="0E1E3A"/>
                <w:sz w:val="18"/>
                <w:szCs w:val="18"/>
                <w:rtl/>
              </w:rPr>
              <w:t>+ مؤشر سعر فائدة التمويل المضمون لليلة واحدة SOFR لثلاثة أشهر. وهو مؤشر متوافق مع ضوابط الشريعة الإسلامية.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مرات التوزيع</w:t>
            </w:r>
          </w:p>
        </w:tc>
        <w:tc>
          <w:tcPr>
            <w:tcW w:type="dxa" w:w="6860"/>
          </w:tcPr>
          <w:p>
            <w:pPr>
              <w:bidi w:val="1"/>
              <w:spacing w:before="0" w:after="0" w:line="276" w:lineRule="auto"/>
            </w:pPr>
            <w:r>
              <w:rPr>
                <w:rFonts w:ascii="Arial" w:hAnsi="Arial" w:cs="Arial" w:eastAsia="Arial"/>
                <w:b/>
                <w:bCs/>
                <w:color w:val="0E1E3A"/>
                <w:sz w:val="18"/>
                <w:szCs w:val="18"/>
                <w:rtl/>
              </w:rPr>
              <w:t>يجوز لمدير الصندوق توزيع عوائد استثمارات الصندوق بعد خصم المصروفات والمخصصات على مالكي الوحدات أكثر من مرتين في السنة وفق تقديره.</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92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إجمالي قيمة الأصول كما في تاريخ 31 ديسمبر 2025م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0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ج.</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تعريفات:</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الانحراف المعياري</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التذبذب بين العوائد على مدى فترة زمنية. وكلما انخفض التقلب، كانت مجموعة العوائد أكثر تجانسا.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شارب</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الفرق كعائد فائض لمدير الصندوق على المعدل الخالي من المخاطر، مقسوما على الانحراف المعياري. و كلما زاد معدل شارب للمحفظة، كلما كان أداؤه حسب المخاطر أفضل.</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خطأ التتبع (Tracking Error)</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الانحراف المعياري بين عائد مدير الصندوق وعائد المؤشر. وكلما انخفض خطأ التتبع، كلما انحرف مدير الصندوق عن المؤشر.</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بيتا (Beta)</w:t>
            </w:r>
          </w:p>
        </w:tc>
        <w:tc>
          <w:tcPr>
            <w:tcW w:type="dxa" w:w="6860"/>
          </w:tcPr>
          <w:p>
            <w:pPr>
              <w:bidi w:val="1"/>
              <w:spacing w:before="0" w:after="0" w:line="276" w:lineRule="auto"/>
            </w:pPr>
            <w:r>
              <w:rPr>
                <w:rFonts w:ascii="Arial" w:hAnsi="Arial" w:cs="Arial" w:eastAsia="Arial"/>
                <w:b/>
                <w:bCs/>
                <w:color w:val="0E1E3A"/>
                <w:sz w:val="18"/>
                <w:szCs w:val="18"/>
                <w:rtl/>
              </w:rPr>
              <w:t>هو مقياس لمتوسط الحساسية التاريخية لعوائد الصندوق مقارنة بعوائد السوق، ويتم احتسابها عن طريق حساب تغاير سعر الوحدة ومؤشر السوق على تباين مؤشر السوق.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ألفا (Alpha)</w:t>
            </w:r>
          </w:p>
        </w:tc>
        <w:tc>
          <w:tcPr>
            <w:tcW w:type="dxa" w:w="6860"/>
          </w:tcPr>
          <w:p>
            <w:pPr>
              <w:bidi w:val="1"/>
              <w:spacing w:before="0" w:after="0" w:line="276" w:lineRule="auto"/>
            </w:pPr>
            <w:r>
              <w:rPr>
                <w:rFonts w:ascii="Arial" w:hAnsi="Arial" w:cs="Arial" w:eastAsia="Arial"/>
                <w:b/>
                <w:bCs/>
                <w:color w:val="0E1E3A"/>
                <w:sz w:val="18"/>
                <w:szCs w:val="18"/>
                <w:rtl/>
              </w:rPr>
              <w:t>هو مقياس أي تفوق حققه أداء الصندوق مقارنة بأداء المؤشر المرتبط به.</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المعلومات</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العائد النشط لمدير الصندوق مقسوما على خطأ التتبع الخاص به. وكلما ارتفع معدل المعلومات، كلما ازدادت قدرة مدير الصندوق على تحقيق عوائد زائدة لكل وحدة من المخاطر الزائدة.</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5" name="Picture 900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د.</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تعليق مدير الصندوق:</w:t>
      </w:r>
    </w:p>
    <w:p>
      <w:pPr>
        <w:bidi w:val="1"/>
        <w:spacing w:before="0" w:after="80" w:line="312" w:lineRule="auto"/>
      </w:pPr>
      <w:r>
        <w:rPr>
          <w:rFonts w:ascii="Arial" w:hAnsi="Arial" w:cs="Arial" w:eastAsia="Arial"/>
          <w:color w:val="0E1E3A"/>
          <w:sz w:val="20"/>
          <w:szCs w:val="20"/>
          <w:rtl/>
        </w:rPr>
        <w:t>لا ينطبق.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0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ه.</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الاتصال:</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رقم الهاتف</w:t>
            </w:r>
          </w:p>
        </w:tc>
        <w:tc>
          <w:tcPr>
            <w:tcW w:type="dxa" w:w="6860"/>
          </w:tcPr>
          <w:p>
            <w:pPr>
              <w:bidi w:val="1"/>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الموقع الإلكتروني</w:t>
            </w:r>
          </w:p>
        </w:tc>
        <w:tc>
          <w:tcPr>
            <w:tcW w:type="dxa" w:w="6860"/>
          </w:tcPr>
          <w:p>
            <w:pPr>
              <w:bidi w:val="1"/>
              <w:spacing w:before="0" w:after="0" w:line="276" w:lineRule="auto"/>
            </w:pPr>
            <w:r>
              <w:rPr>
                <w:rFonts w:ascii="Arial" w:hAnsi="Arial" w:cs="Arial" w:eastAsia="Arial"/>
                <w:b/>
                <w:bCs/>
                <w:color w:val="0E1E3A"/>
                <w:sz w:val="18"/>
                <w:szCs w:val="18"/>
                <w:rtl/>
              </w:rPr>
              <w:t>www.alkhabeer.com</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البريد الإلكتروني</w:t>
            </w:r>
          </w:p>
        </w:tc>
        <w:tc>
          <w:tcPr>
            <w:tcW w:type="dxa" w:w="6860"/>
          </w:tcPr>
          <w:p>
            <w:pPr>
              <w:bidi w:val="1"/>
              <w:spacing w:before="0" w:after="0" w:line="276" w:lineRule="auto"/>
            </w:pPr>
            <w:r>
              <w:rPr>
                <w:rFonts w:ascii="Arial" w:hAnsi="Arial" w:cs="Arial" w:eastAsia="Arial"/>
                <w:b/>
                <w:bCs/>
                <w:color w:val="0E1E3A"/>
                <w:sz w:val="18"/>
                <w:szCs w:val="18"/>
                <w:rtl/>
              </w:rPr>
              <w:t>info@alkhabeer.com</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0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و.</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الأسعار كما في نهاية الربع المعني (ديسمبر 2025م):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كما في نهاية الربع الرابع (31 ديسمبر 2025م)</w:t>
            </w:r>
          </w:p>
        </w:tc>
        <w:tc>
          <w:tcPr>
            <w:tcW w:type="dxa" w:w="6860"/>
          </w:tcPr>
          <w:p>
            <w:pPr>
              <w:bidi w:val="1"/>
              <w:spacing w:before="0" w:after="0" w:line="276" w:lineRule="auto"/>
            </w:pPr>
            <w:r>
              <w:rPr>
                <w:rFonts w:ascii="Arial" w:hAnsi="Arial" w:cs="Arial" w:eastAsia="Arial"/>
                <w:b/>
                <w:bCs/>
                <w:color w:val="0E1E3A"/>
                <w:sz w:val="18"/>
                <w:szCs w:val="18"/>
                <w:rtl/>
              </w:rPr>
              <w:t>7.73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w:t>
            </w:r>
          </w:p>
        </w:tc>
        <w:tc>
          <w:tcPr>
            <w:tcW w:type="dxa" w:w="6860"/>
          </w:tcPr>
          <w:p>
            <w:pPr>
              <w:bidi w:val="1"/>
              <w:spacing w:before="0" w:after="0" w:line="276" w:lineRule="auto"/>
            </w:pPr>
            <w:r>
              <w:rPr>
                <w:rFonts w:ascii="Arial" w:hAnsi="Arial" w:cs="Arial" w:eastAsia="Arial"/>
                <w:b/>
                <w:bCs/>
                <w:color w:val="0E1E3A"/>
                <w:sz w:val="18"/>
                <w:szCs w:val="18"/>
              </w:rPr>
              <w:t>‎-1.28%‎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وحدات الصندوق</w:t>
            </w:r>
          </w:p>
        </w:tc>
        <w:tc>
          <w:tcPr>
            <w:tcW w:type="dxa" w:w="6860"/>
          </w:tcPr>
          <w:p>
            <w:pPr>
              <w:bidi w:val="1"/>
              <w:spacing w:before="0" w:after="0" w:line="276" w:lineRule="auto"/>
            </w:pPr>
            <w:r>
              <w:rPr>
                <w:rFonts w:ascii="Arial" w:hAnsi="Arial" w:cs="Arial" w:eastAsia="Arial"/>
                <w:b/>
                <w:bCs/>
                <w:color w:val="0E1E3A"/>
                <w:sz w:val="18"/>
                <w:szCs w:val="18"/>
                <w:rtl/>
              </w:rPr>
              <w:t>30,545,635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الأصول</w:t>
            </w:r>
          </w:p>
        </w:tc>
        <w:tc>
          <w:tcPr>
            <w:tcW w:type="dxa" w:w="6860"/>
          </w:tcPr>
          <w:p>
            <w:pPr>
              <w:bidi w:val="1"/>
              <w:spacing w:before="0" w:after="0" w:line="276" w:lineRule="auto"/>
            </w:pPr>
            <w:r>
              <w:rPr>
                <w:rFonts w:ascii="Arial" w:hAnsi="Arial" w:cs="Arial" w:eastAsia="Arial"/>
                <w:b/>
                <w:bCs/>
                <w:color w:val="0E1E3A"/>
                <w:sz w:val="18"/>
                <w:szCs w:val="18"/>
                <w:rtl/>
              </w:rPr>
              <w:t>316,020,262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(P/E)</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8" name="Picture 901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ز.</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الصندوق كما في نهاية الربع الرابع (ديسمبر 2025م):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ريال سعودي</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w:t>
            </w:r>
          </w:p>
        </w:tc>
      </w:tr>
      <w:tr>
        <w:tc>
          <w:tcPr>
            <w:tcW w:type="dxa" w:w="3326"/>
          </w:tcPr>
          <w:p>
            <w:pPr>
              <w:bidi w:val="1"/>
              <w:spacing w:before="0" w:after="0" w:line="264" w:lineRule="auto"/>
            </w:pPr>
            <w:r>
              <w:rPr>
                <w:rFonts w:ascii="Arial" w:hAnsi="Arial" w:cs="Arial" w:eastAsia="Arial"/>
                <w:color w:val="0E1E3A"/>
                <w:sz w:val="17"/>
                <w:szCs w:val="17"/>
                <w:rtl/>
              </w:rPr>
              <w:t>نسبة الأتعاب والمصروفات الإجمالية (TER) من متوسط صافي أصول الصندوق</w:t>
            </w:r>
          </w:p>
        </w:tc>
        <w:tc>
          <w:tcPr>
            <w:tcW w:type="dxa" w:w="3326"/>
          </w:tcPr>
          <w:p>
            <w:pPr>
              <w:bidi w:val="1"/>
              <w:spacing w:before="0" w:after="0" w:line="264" w:lineRule="auto"/>
            </w:pPr>
            <w:r>
              <w:rPr>
                <w:rFonts w:ascii="Arial" w:hAnsi="Arial" w:cs="Arial" w:eastAsia="Arial"/>
                <w:color w:val="0E1E3A"/>
                <w:sz w:val="17"/>
                <w:szCs w:val="17"/>
                <w:rtl/>
              </w:rPr>
              <w:t>1,213,923 ر.س.</w:t>
            </w:r>
          </w:p>
        </w:tc>
        <w:tc>
          <w:tcPr>
            <w:tcW w:type="dxa" w:w="3326"/>
          </w:tcPr>
          <w:p>
            <w:pPr>
              <w:bidi w:val="1"/>
              <w:spacing w:before="0" w:after="0" w:line="264" w:lineRule="auto"/>
            </w:pPr>
            <w:r>
              <w:rPr>
                <w:rFonts w:ascii="Arial" w:hAnsi="Arial" w:cs="Arial" w:eastAsia="Arial"/>
                <w:color w:val="0E1E3A"/>
                <w:sz w:val="17"/>
                <w:szCs w:val="17"/>
              </w:rPr>
              <w:t>‎0.39%‎</w:t>
            </w:r>
          </w:p>
        </w:tc>
      </w:tr>
      <w:tr>
        <w:tc>
          <w:tcPr>
            <w:tcW w:type="dxa" w:w="3326"/>
          </w:tcPr>
          <w:p>
            <w:pPr>
              <w:bidi w:val="1"/>
              <w:spacing w:before="0" w:after="0" w:line="264" w:lineRule="auto"/>
            </w:pPr>
            <w:r>
              <w:rPr>
                <w:rFonts w:ascii="Arial" w:hAnsi="Arial" w:cs="Arial" w:eastAsia="Arial"/>
                <w:color w:val="0E1E3A"/>
                <w:sz w:val="17"/>
                <w:szCs w:val="17"/>
                <w:rtl/>
              </w:rPr>
              <w:t>نسبة الاقتراض من القيمة الإجمالية لأصول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مصاريف التعامل من متوسط صافي 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استثمار مدير الصندوق من صافي أصول الصندوق</w:t>
            </w:r>
          </w:p>
        </w:tc>
        <w:tc>
          <w:tcPr>
            <w:tcW w:type="dxa" w:w="3326"/>
          </w:tcPr>
          <w:p>
            <w:pPr>
              <w:bidi w:val="1"/>
              <w:spacing w:before="0" w:after="0" w:line="264" w:lineRule="auto"/>
            </w:pPr>
            <w:r>
              <w:rPr>
                <w:rFonts w:ascii="Arial" w:hAnsi="Arial" w:cs="Arial" w:eastAsia="Arial"/>
                <w:color w:val="0E1E3A"/>
                <w:sz w:val="17"/>
                <w:szCs w:val="17"/>
                <w:rtl/>
              </w:rPr>
              <w:t>51,729,202 ر.س.</w:t>
            </w:r>
          </w:p>
        </w:tc>
        <w:tc>
          <w:tcPr>
            <w:tcW w:type="dxa" w:w="3326"/>
          </w:tcPr>
          <w:p>
            <w:pPr>
              <w:bidi w:val="1"/>
              <w:spacing w:before="0" w:after="0" w:line="264" w:lineRule="auto"/>
            </w:pPr>
            <w:r>
              <w:rPr>
                <w:rFonts w:ascii="Arial" w:hAnsi="Arial" w:cs="Arial" w:eastAsia="Arial"/>
                <w:color w:val="0E1E3A"/>
                <w:sz w:val="17"/>
                <w:szCs w:val="17"/>
              </w:rPr>
              <w:t>‎16.37%‎</w:t>
            </w:r>
          </w:p>
        </w:tc>
      </w:tr>
      <w:tr>
        <w:tc>
          <w:tcPr>
            <w:tcW w:type="dxa" w:w="3326"/>
          </w:tcPr>
          <w:p>
            <w:pPr>
              <w:bidi w:val="1"/>
              <w:spacing w:before="0" w:after="0" w:line="264" w:lineRule="auto"/>
            </w:pPr>
            <w:r>
              <w:rPr>
                <w:rFonts w:ascii="Arial" w:hAnsi="Arial" w:cs="Arial" w:eastAsia="Arial"/>
                <w:color w:val="0E1E3A"/>
                <w:sz w:val="17"/>
                <w:szCs w:val="17"/>
                <w:rtl/>
              </w:rPr>
              <w:t>الأرباح الموزعة من صافي قيمة الأصول*</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تم توزيع 0.39 ريال سعودي للوحدة عن الفترة من 1 يناير 2025م إلى 30 يونيو 2025م -خلال الربع الثالث من العام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1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ح.</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ملكية تامة</w:t>
            </w:r>
          </w:p>
        </w:tc>
        <w:tc>
          <w:tcPr>
            <w:tcW w:type="dxa" w:w="6860"/>
          </w:tcPr>
          <w:p>
            <w:pPr>
              <w:bidi w:val="1"/>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حق منفعة</w:t>
            </w:r>
          </w:p>
        </w:tc>
        <w:tc>
          <w:tcPr>
            <w:tcW w:type="dxa" w:w="6860"/>
          </w:tcPr>
          <w:p>
            <w:pPr>
              <w:bidi w:val="1"/>
              <w:spacing w:before="0" w:after="0" w:line="276" w:lineRule="auto"/>
            </w:pPr>
            <w:r>
              <w:rPr>
                <w:rFonts w:ascii="Arial" w:hAnsi="Arial" w:cs="Arial" w:eastAsia="Arial"/>
                <w:b/>
                <w:bCs/>
                <w:color w:val="0E1E3A"/>
                <w:sz w:val="18"/>
                <w:szCs w:val="18"/>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1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ط.</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إخلاء مسؤولية:</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2030 المتداول"، ولا تشكل الوثيقة (أو أي جزءٍ منها) أساسا، ولا ينبغي الاعتماد عليها للقيام بما تقدم، أو محفزا لإبرام أي تعاقد مهما كان نوعه. ويجب على المستثمرين المحتملين قراءة شروط وأحكام صندوق "الخبير للدخل المتنوع 2030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ويعد استثمار المستثمر في الصندوق إقرارا منه باطلاعه على شروط وأحكام الصندوق وقبوله بها. وتنتفي المسؤولية عن مدير الصندوق، أو أي من تابعيه في حال وقوع أية خسارة مالية للصندوق، ما لم يكن ذلك ناتجا عن أسباب متعمدة من قبل مدير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1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ي.</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أكبر عشرة استثمارات للصندوق:</w:t>
      </w:r>
    </w:p>
    <w:p>
      <w:pPr>
        <w:bidi w:val="1"/>
        <w:spacing w:before="0" w:after="80" w:line="240" w:lineRule="auto"/>
        <w:jc w:val="center"/>
      </w:pPr>
      <w:r>
        <w:drawing>
          <wp:inline xmlns:a="http://schemas.openxmlformats.org/drawingml/2006/main" xmlns:pic="http://schemas.openxmlformats.org/drawingml/2006/picture">
            <wp:extent cx="6336000" cy="2901621"/>
            <wp:docPr id="12" name="Picture 9014"/>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2901621"/>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15"/>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ك.</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الأرباح الموزعة على مالكي الوحدات (إن وُجدت)،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في الربع الرابع</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التي تم التوزيع لها خلال الربع الرابع</w:t>
            </w:r>
          </w:p>
        </w:tc>
        <w:tc>
          <w:tcPr>
            <w:tcW w:type="dxa" w:w="6860"/>
          </w:tcPr>
          <w:p>
            <w:pPr>
              <w:bidi w:val="1"/>
              <w:spacing w:before="0" w:after="0" w:line="276" w:lineRule="auto"/>
            </w:pPr>
            <w:r>
              <w:rPr>
                <w:rFonts w:ascii="Arial" w:hAnsi="Arial" w:cs="Arial" w:eastAsia="Arial"/>
                <w:b/>
                <w:bCs/>
                <w:color w:val="0E1E3A"/>
                <w:sz w:val="18"/>
                <w:szCs w:val="18"/>
                <w:rtl/>
              </w:rPr>
              <w:t>0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الربح الموزع لكل وحدة خلال الربع الرابع</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التوزيعات من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أحقية التوزيعات النقدية التي تم توزيعها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سيقوم مدير الصندوق بتوزيع عوائد استثمارات الصندوق بعد خصم المصروفات والمخصصات والاحتياطيات على مالكي الوحدات مرتين في السنة. وذلك باستثناء الأرباح الرأس مالية الناتجة عن بيع الأصول المستثمر فيها، والتي قد يتم إعادة استثمارها في أصول أخرى أو توزيع كل أو جزء منها وفقا لتقدير مدير الصندوق.</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وسيقوم الصندوق بتوزيع الأرباح خلال 40 يوم عمل من تاريخ آخر يوم من كل نصف سنة، وبنهاية كل سنة ميلادية؛ أي خلال شهري أغسطس وفبراير من كل سنة ميلادية. وسيتم إيداع أية أرباح نقدية موزعة في الحساب الاستثماري الخاص لمالك الوحدات. يجوز لمدير الصندوق توزيع عوائد استثمارات الصندوق بعد خصم المصروفات والمخصصات على مالكي الوحدات أكثر من مرتين في السنة وفق تقديره.</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1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ل.</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التصنيف الائتماني لأدوات الدين المستثمّر فيها لأكبر عشرة استثمارات للصندوق، وذلك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لأداة الدين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لمصدر أداة الدين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اسم وكالة التصنيف الائتماني المانحة للتصنيف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تاريخ التصنيف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17"/>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م.</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توزيع أصول الصندوق (قطاعي/جغرافي):</w:t>
      </w:r>
    </w:p>
    <w:p>
      <w:pPr>
        <w:bidi w:val="1"/>
        <w:spacing w:before="0" w:after="80" w:line="240" w:lineRule="auto"/>
        <w:jc w:val="center"/>
      </w:pPr>
      <w:r>
        <w:drawing>
          <wp:inline xmlns:a="http://schemas.openxmlformats.org/drawingml/2006/main" xmlns:pic="http://schemas.openxmlformats.org/drawingml/2006/picture">
            <wp:extent cx="6336000" cy="1969297"/>
            <wp:docPr id="16" name="Picture 9018"/>
            <wp:cNvGraphicFramePr>
              <a:graphicFrameLocks noChangeAspect="1"/>
            </wp:cNvGraphicFramePr>
            <a:graphic>
              <a:graphicData uri="http://schemas.openxmlformats.org/drawingml/2006/picture">
                <pic:pic>
                  <pic:nvPicPr>
                    <pic:cNvPr id="0" name="x3.j.jpg"/>
                    <pic:cNvPicPr/>
                  </pic:nvPicPr>
                  <pic:blipFill>
                    <a:blip r:embed="rId18"/>
                    <a:stretch>
                      <a:fillRect/>
                    </a:stretch>
                  </pic:blipFill>
                  <pic:spPr>
                    <a:xfrm>
                      <a:off x="0" y="0"/>
                      <a:ext cx="6336000" cy="1969297"/>
                    </a:xfrm>
                    <a:prstGeom prst="rect"/>
                  </pic:spPr>
                </pic:pic>
              </a:graphicData>
            </a:graphic>
          </wp:inline>
        </w:drawing>
      </w:r>
    </w:p>
    <w:p>
      <w:pPr>
        <w:bidi w:val="1"/>
        <w:spacing w:before="0" w:after="80" w:line="240" w:lineRule="auto"/>
        <w:jc w:val="center"/>
      </w:pPr>
      <w:r>
        <w:drawing>
          <wp:inline xmlns:a="http://schemas.openxmlformats.org/drawingml/2006/main" xmlns:pic="http://schemas.openxmlformats.org/drawingml/2006/picture">
            <wp:extent cx="6336000" cy="1969297"/>
            <wp:docPr id="17" name="Picture 9019"/>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1969297"/>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متوسط مدة استثمارات الصندوق 1.10 سنة.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20"/>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ن.</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العائد: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الرابع)</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 *</w:t>
            </w:r>
          </w:p>
        </w:tc>
        <w:tc>
          <w:tcPr>
            <w:tcW w:type="dxa" w:w="1663"/>
          </w:tcPr>
          <w:p>
            <w:pPr>
              <w:bidi w:val="1"/>
              <w:spacing w:before="0" w:after="0" w:line="264" w:lineRule="auto"/>
            </w:pPr>
            <w:r>
              <w:rPr>
                <w:rFonts w:ascii="Arial" w:hAnsi="Arial" w:cs="Arial" w:eastAsia="Arial"/>
                <w:color w:val="0E1E3A"/>
                <w:sz w:val="17"/>
                <w:szCs w:val="17"/>
              </w:rPr>
              <w:t>‎1.69%‎</w:t>
            </w:r>
          </w:p>
        </w:tc>
        <w:tc>
          <w:tcPr>
            <w:tcW w:type="dxa" w:w="1663"/>
          </w:tcPr>
          <w:p>
            <w:pPr>
              <w:bidi w:val="1"/>
              <w:spacing w:before="0" w:after="0" w:line="264" w:lineRule="auto"/>
            </w:pPr>
            <w:r>
              <w:rPr>
                <w:rFonts w:ascii="Arial" w:hAnsi="Arial" w:cs="Arial" w:eastAsia="Arial"/>
                <w:color w:val="0E1E3A"/>
                <w:sz w:val="17"/>
                <w:szCs w:val="17"/>
              </w:rPr>
              <w:t>‎7.37%‎</w:t>
            </w:r>
          </w:p>
        </w:tc>
        <w:tc>
          <w:tcPr>
            <w:tcW w:type="dxa" w:w="1663"/>
          </w:tcPr>
          <w:p>
            <w:pPr>
              <w:bidi w:val="1"/>
              <w:spacing w:before="0" w:after="0" w:line="264" w:lineRule="auto"/>
            </w:pPr>
            <w:r>
              <w:rPr>
                <w:rFonts w:ascii="Arial" w:hAnsi="Arial" w:cs="Arial" w:eastAsia="Arial"/>
                <w:color w:val="0E1E3A"/>
                <w:sz w:val="17"/>
                <w:szCs w:val="17"/>
              </w:rPr>
              <w:t>‎7.37%‎</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‎1.55%‎</w:t>
            </w:r>
          </w:p>
        </w:tc>
        <w:tc>
          <w:tcPr>
            <w:tcW w:type="dxa" w:w="1663"/>
          </w:tcPr>
          <w:p>
            <w:pPr>
              <w:bidi w:val="1"/>
              <w:spacing w:before="0" w:after="0" w:line="264" w:lineRule="auto"/>
            </w:pPr>
            <w:r>
              <w:rPr>
                <w:rFonts w:ascii="Arial" w:hAnsi="Arial" w:cs="Arial" w:eastAsia="Arial"/>
                <w:color w:val="0E1E3A"/>
                <w:sz w:val="17"/>
                <w:szCs w:val="17"/>
              </w:rPr>
              <w:t>‎5.21%‎</w:t>
            </w:r>
          </w:p>
        </w:tc>
        <w:tc>
          <w:tcPr>
            <w:tcW w:type="dxa" w:w="1663"/>
          </w:tcPr>
          <w:p>
            <w:pPr>
              <w:bidi w:val="1"/>
              <w:spacing w:before="0" w:after="0" w:line="264" w:lineRule="auto"/>
            </w:pPr>
            <w:r>
              <w:rPr>
                <w:rFonts w:ascii="Arial" w:hAnsi="Arial" w:cs="Arial" w:eastAsia="Arial"/>
                <w:color w:val="0E1E3A"/>
                <w:sz w:val="17"/>
                <w:szCs w:val="17"/>
              </w:rPr>
              <w:t>‎5.21%‎</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‎0.14%‎</w:t>
            </w:r>
          </w:p>
        </w:tc>
        <w:tc>
          <w:tcPr>
            <w:tcW w:type="dxa" w:w="1663"/>
          </w:tcPr>
          <w:p>
            <w:pPr>
              <w:bidi w:val="1"/>
              <w:spacing w:before="0" w:after="0" w:line="264" w:lineRule="auto"/>
            </w:pPr>
            <w:r>
              <w:rPr>
                <w:rFonts w:ascii="Arial" w:hAnsi="Arial" w:cs="Arial" w:eastAsia="Arial"/>
                <w:color w:val="0E1E3A"/>
                <w:sz w:val="17"/>
                <w:szCs w:val="17"/>
              </w:rPr>
              <w:t>‎2.16%‎</w:t>
            </w:r>
          </w:p>
        </w:tc>
        <w:tc>
          <w:tcPr>
            <w:tcW w:type="dxa" w:w="1663"/>
          </w:tcPr>
          <w:p>
            <w:pPr>
              <w:bidi w:val="1"/>
              <w:spacing w:before="0" w:after="0" w:line="264" w:lineRule="auto"/>
            </w:pPr>
            <w:r>
              <w:rPr>
                <w:rFonts w:ascii="Arial" w:hAnsi="Arial" w:cs="Arial" w:eastAsia="Arial"/>
                <w:color w:val="0E1E3A"/>
                <w:sz w:val="17"/>
                <w:szCs w:val="17"/>
              </w:rPr>
              <w:t>‎2.16%‎</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العائد الكلي = أداء صافي قيمة الوحدة بالإضافة إلى الأرباح الموزعة.</w:t>
      </w:r>
      <w:r>
        <w:br/>
      </w:r>
      <w:r>
        <w:rPr>
          <w:rFonts w:ascii="Arial" w:hAnsi="Arial" w:cs="Arial" w:eastAsia="Arial"/>
          <w:color w:val="5A6478"/>
          <w:sz w:val="17"/>
          <w:szCs w:val="17"/>
          <w:rtl/>
        </w:rPr>
        <w:t>**عن الفترة من 30 سبتمبر 2025م إلى 31 ديسمبر 2025م.</w:t>
      </w:r>
      <w:r>
        <w:br/>
      </w:r>
      <w:r>
        <w:rPr>
          <w:rFonts w:ascii="Arial" w:hAnsi="Arial" w:cs="Arial" w:eastAsia="Arial"/>
          <w:color w:val="5A6478"/>
          <w:sz w:val="17"/>
          <w:szCs w:val="17"/>
          <w:rtl/>
        </w:rPr>
        <w:t>*** عن الفترة من 31 ديسمبر 2024م إلى 31 ديسمبر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21"/>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س.</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الرابع)</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w:t>
            </w:r>
          </w:p>
        </w:tc>
        <w:tc>
          <w:tcPr>
            <w:tcW w:type="dxa" w:w="1663"/>
          </w:tcPr>
          <w:p>
            <w:pPr>
              <w:bidi w:val="1"/>
              <w:spacing w:before="0" w:after="0" w:line="264" w:lineRule="auto"/>
            </w:pPr>
            <w:r>
              <w:rPr>
                <w:rFonts w:ascii="Arial" w:hAnsi="Arial" w:cs="Arial" w:eastAsia="Arial"/>
                <w:color w:val="0E1E3A"/>
                <w:sz w:val="17"/>
                <w:szCs w:val="17"/>
                <w:rtl/>
              </w:rPr>
              <w:t>2.66</w:t>
            </w:r>
          </w:p>
        </w:tc>
        <w:tc>
          <w:tcPr>
            <w:tcW w:type="dxa" w:w="1663"/>
          </w:tcPr>
          <w:p>
            <w:pPr>
              <w:bidi w:val="1"/>
              <w:spacing w:before="0" w:after="0" w:line="264" w:lineRule="auto"/>
            </w:pPr>
            <w:r>
              <w:rPr>
                <w:rFonts w:ascii="Arial" w:hAnsi="Arial" w:cs="Arial" w:eastAsia="Arial"/>
                <w:color w:val="0E1E3A"/>
                <w:sz w:val="17"/>
                <w:szCs w:val="17"/>
                <w:rtl/>
              </w:rPr>
              <w:t>13.12</w:t>
            </w:r>
          </w:p>
        </w:tc>
        <w:tc>
          <w:tcPr>
            <w:tcW w:type="dxa" w:w="1663"/>
          </w:tcPr>
          <w:p>
            <w:pPr>
              <w:bidi w:val="1"/>
              <w:spacing w:before="0" w:after="0" w:line="264" w:lineRule="auto"/>
            </w:pPr>
            <w:r>
              <w:rPr>
                <w:rFonts w:ascii="Arial" w:hAnsi="Arial" w:cs="Arial" w:eastAsia="Arial"/>
                <w:color w:val="0E1E3A"/>
                <w:sz w:val="17"/>
                <w:szCs w:val="17"/>
                <w:rtl/>
              </w:rPr>
              <w:t>13.12</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w:t>
            </w:r>
          </w:p>
        </w:tc>
        <w:tc>
          <w:tcPr>
            <w:tcW w:type="dxa" w:w="1663"/>
          </w:tcPr>
          <w:p>
            <w:pPr>
              <w:bidi w:val="1"/>
              <w:spacing w:before="0" w:after="0" w:line="264" w:lineRule="auto"/>
            </w:pPr>
            <w:r>
              <w:rPr>
                <w:rFonts w:ascii="Arial" w:hAnsi="Arial" w:cs="Arial" w:eastAsia="Arial"/>
                <w:color w:val="0E1E3A"/>
                <w:sz w:val="17"/>
                <w:szCs w:val="17"/>
                <w:rtl/>
              </w:rPr>
              <w:t>2.70-</w:t>
            </w:r>
          </w:p>
        </w:tc>
        <w:tc>
          <w:tcPr>
            <w:tcW w:type="dxa" w:w="1663"/>
          </w:tcPr>
          <w:p>
            <w:pPr>
              <w:bidi w:val="1"/>
              <w:spacing w:before="0" w:after="0" w:line="264" w:lineRule="auto"/>
            </w:pPr>
            <w:r>
              <w:rPr>
                <w:rFonts w:ascii="Arial" w:hAnsi="Arial" w:cs="Arial" w:eastAsia="Arial"/>
                <w:color w:val="0E1E3A"/>
                <w:sz w:val="17"/>
                <w:szCs w:val="17"/>
                <w:rtl/>
              </w:rPr>
              <w:t>0.85</w:t>
            </w:r>
          </w:p>
        </w:tc>
        <w:tc>
          <w:tcPr>
            <w:tcW w:type="dxa" w:w="1663"/>
          </w:tcPr>
          <w:p>
            <w:pPr>
              <w:bidi w:val="1"/>
              <w:spacing w:before="0" w:after="0" w:line="264" w:lineRule="auto"/>
            </w:pPr>
            <w:r>
              <w:rPr>
                <w:rFonts w:ascii="Arial" w:hAnsi="Arial" w:cs="Arial" w:eastAsia="Arial"/>
                <w:color w:val="0E1E3A"/>
                <w:sz w:val="17"/>
                <w:szCs w:val="17"/>
                <w:rtl/>
              </w:rPr>
              <w:t>0.85</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(Tracking Error)</w:t>
            </w:r>
          </w:p>
        </w:tc>
        <w:tc>
          <w:tcPr>
            <w:tcW w:type="dxa" w:w="1663"/>
          </w:tcPr>
          <w:p>
            <w:pPr>
              <w:bidi w:val="1"/>
              <w:spacing w:before="0" w:after="0" w:line="264" w:lineRule="auto"/>
            </w:pPr>
            <w:r>
              <w:rPr>
                <w:rFonts w:ascii="Arial" w:hAnsi="Arial" w:cs="Arial" w:eastAsia="Arial"/>
                <w:color w:val="0E1E3A"/>
                <w:sz w:val="17"/>
                <w:szCs w:val="17"/>
                <w:rtl/>
              </w:rPr>
              <w:t>2.66</w:t>
            </w:r>
          </w:p>
        </w:tc>
        <w:tc>
          <w:tcPr>
            <w:tcW w:type="dxa" w:w="1663"/>
          </w:tcPr>
          <w:p>
            <w:pPr>
              <w:bidi w:val="1"/>
              <w:spacing w:before="0" w:after="0" w:line="264" w:lineRule="auto"/>
            </w:pPr>
            <w:r>
              <w:rPr>
                <w:rFonts w:ascii="Arial" w:hAnsi="Arial" w:cs="Arial" w:eastAsia="Arial"/>
                <w:color w:val="0E1E3A"/>
                <w:sz w:val="17"/>
                <w:szCs w:val="17"/>
                <w:rtl/>
              </w:rPr>
              <w:t>13.12</w:t>
            </w:r>
          </w:p>
        </w:tc>
        <w:tc>
          <w:tcPr>
            <w:tcW w:type="dxa" w:w="1663"/>
          </w:tcPr>
          <w:p>
            <w:pPr>
              <w:bidi w:val="1"/>
              <w:spacing w:before="0" w:after="0" w:line="264" w:lineRule="auto"/>
            </w:pPr>
            <w:r>
              <w:rPr>
                <w:rFonts w:ascii="Arial" w:hAnsi="Arial" w:cs="Arial" w:eastAsia="Arial"/>
                <w:color w:val="0E1E3A"/>
                <w:sz w:val="17"/>
                <w:szCs w:val="17"/>
                <w:rtl/>
              </w:rPr>
              <w:t>13.12</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(Beta)</w:t>
            </w:r>
          </w:p>
        </w:tc>
        <w:tc>
          <w:tcPr>
            <w:tcW w:type="dxa" w:w="1663"/>
          </w:tcPr>
          <w:p>
            <w:pPr>
              <w:bidi w:val="1"/>
              <w:spacing w:before="0" w:after="0" w:line="264" w:lineRule="auto"/>
            </w:pPr>
            <w:r>
              <w:rPr>
                <w:rFonts w:ascii="Arial" w:hAnsi="Arial" w:cs="Arial" w:eastAsia="Arial"/>
                <w:color w:val="0E1E3A"/>
                <w:sz w:val="17"/>
                <w:szCs w:val="17"/>
                <w:rtl/>
              </w:rPr>
              <w:t>81.46-</w:t>
            </w:r>
          </w:p>
        </w:tc>
        <w:tc>
          <w:tcPr>
            <w:tcW w:type="dxa" w:w="1663"/>
          </w:tcPr>
          <w:p>
            <w:pPr>
              <w:bidi w:val="1"/>
              <w:spacing w:before="0" w:after="0" w:line="264" w:lineRule="auto"/>
            </w:pPr>
            <w:r>
              <w:rPr>
                <w:rFonts w:ascii="Arial" w:hAnsi="Arial" w:cs="Arial" w:eastAsia="Arial"/>
                <w:color w:val="0E1E3A"/>
                <w:sz w:val="17"/>
                <w:szCs w:val="17"/>
                <w:rtl/>
              </w:rPr>
              <w:t>9.94</w:t>
            </w:r>
          </w:p>
        </w:tc>
        <w:tc>
          <w:tcPr>
            <w:tcW w:type="dxa" w:w="1663"/>
          </w:tcPr>
          <w:p>
            <w:pPr>
              <w:bidi w:val="1"/>
              <w:spacing w:before="0" w:after="0" w:line="264" w:lineRule="auto"/>
            </w:pPr>
            <w:r>
              <w:rPr>
                <w:rFonts w:ascii="Arial" w:hAnsi="Arial" w:cs="Arial" w:eastAsia="Arial"/>
                <w:color w:val="0E1E3A"/>
                <w:sz w:val="17"/>
                <w:szCs w:val="17"/>
                <w:rtl/>
              </w:rPr>
              <w:t>9.94</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(Alpha)</w:t>
            </w:r>
          </w:p>
        </w:tc>
        <w:tc>
          <w:tcPr>
            <w:tcW w:type="dxa" w:w="1663"/>
          </w:tcPr>
          <w:p>
            <w:pPr>
              <w:bidi w:val="1"/>
              <w:spacing w:before="0" w:after="0" w:line="264" w:lineRule="auto"/>
            </w:pPr>
            <w:r>
              <w:rPr>
                <w:rFonts w:ascii="Arial" w:hAnsi="Arial" w:cs="Arial" w:eastAsia="Arial"/>
                <w:color w:val="0E1E3A"/>
                <w:sz w:val="17"/>
                <w:szCs w:val="17"/>
              </w:rPr>
              <w:t>‎388.01%‎</w:t>
            </w:r>
          </w:p>
        </w:tc>
        <w:tc>
          <w:tcPr>
            <w:tcW w:type="dxa" w:w="1663"/>
          </w:tcPr>
          <w:p>
            <w:pPr>
              <w:bidi w:val="1"/>
              <w:spacing w:before="0" w:after="0" w:line="264" w:lineRule="auto"/>
            </w:pPr>
            <w:r>
              <w:rPr>
                <w:rFonts w:ascii="Arial" w:hAnsi="Arial" w:cs="Arial" w:eastAsia="Arial"/>
                <w:color w:val="0E1E3A"/>
                <w:sz w:val="17"/>
                <w:szCs w:val="17"/>
              </w:rPr>
              <w:t>‎14.10%‎</w:t>
            </w:r>
          </w:p>
        </w:tc>
        <w:tc>
          <w:tcPr>
            <w:tcW w:type="dxa" w:w="1663"/>
          </w:tcPr>
          <w:p>
            <w:pPr>
              <w:bidi w:val="1"/>
              <w:spacing w:before="0" w:after="0" w:line="264" w:lineRule="auto"/>
            </w:pPr>
            <w:r>
              <w:rPr>
                <w:rFonts w:ascii="Arial" w:hAnsi="Arial" w:cs="Arial" w:eastAsia="Arial"/>
                <w:color w:val="0E1E3A"/>
                <w:sz w:val="17"/>
                <w:szCs w:val="17"/>
              </w:rPr>
              <w:t>‎14.10%‎</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w:t>
            </w:r>
          </w:p>
        </w:tc>
        <w:tc>
          <w:tcPr>
            <w:tcW w:type="dxa" w:w="1663"/>
          </w:tcPr>
          <w:p>
            <w:pPr>
              <w:bidi w:val="1"/>
              <w:spacing w:before="0" w:after="0" w:line="264" w:lineRule="auto"/>
            </w:pPr>
            <w:r>
              <w:rPr>
                <w:rFonts w:ascii="Arial" w:hAnsi="Arial" w:cs="Arial" w:eastAsia="Arial"/>
                <w:color w:val="0E1E3A"/>
                <w:sz w:val="17"/>
                <w:szCs w:val="17"/>
              </w:rPr>
              <w:t>‎-3.86%‎</w:t>
            </w:r>
          </w:p>
        </w:tc>
        <w:tc>
          <w:tcPr>
            <w:tcW w:type="dxa" w:w="1663"/>
          </w:tcPr>
          <w:p>
            <w:pPr>
              <w:bidi w:val="1"/>
              <w:spacing w:before="0" w:after="0" w:line="264" w:lineRule="auto"/>
            </w:pPr>
            <w:r>
              <w:rPr>
                <w:rFonts w:ascii="Arial" w:hAnsi="Arial" w:cs="Arial" w:eastAsia="Arial"/>
                <w:color w:val="0E1E3A"/>
                <w:sz w:val="17"/>
                <w:szCs w:val="17"/>
              </w:rPr>
              <w:t>‎1.08%‎</w:t>
            </w:r>
          </w:p>
        </w:tc>
        <w:tc>
          <w:tcPr>
            <w:tcW w:type="dxa" w:w="1663"/>
          </w:tcPr>
          <w:p>
            <w:pPr>
              <w:bidi w:val="1"/>
              <w:spacing w:before="0" w:after="0" w:line="264" w:lineRule="auto"/>
            </w:pPr>
            <w:r>
              <w:rPr>
                <w:rFonts w:ascii="Arial" w:hAnsi="Arial" w:cs="Arial" w:eastAsia="Arial"/>
                <w:color w:val="0E1E3A"/>
                <w:sz w:val="17"/>
                <w:szCs w:val="17"/>
              </w:rPr>
              <w:t>‎1.08%‎</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عن الفترة من 1 يناير 2025م إلى 31 ديسمبر 2025م.</w:t>
      </w:r>
      <w:r>
        <w:br/>
      </w:r>
      <w:r>
        <w:rPr>
          <w:rFonts w:ascii="Arial" w:hAnsi="Arial" w:cs="Arial" w:eastAsia="Arial"/>
          <w:color w:val="5A6478"/>
          <w:sz w:val="17"/>
          <w:szCs w:val="17"/>
          <w:rtl/>
        </w:rPr>
        <w:t>** عن الفترة من 31 ديسمبر 2024م إلى 31 ديسمبر 2025م.</w:t>
      </w:r>
      <w:r>
        <w:br/>
      </w:r>
      <w:r>
        <w:rPr>
          <w:rFonts w:ascii="Arial" w:hAnsi="Arial" w:cs="Arial" w:eastAsia="Arial"/>
          <w:color w:val="5A6478"/>
          <w:sz w:val="17"/>
          <w:szCs w:val="17"/>
          <w:rtl/>
        </w:rPr>
        <w:t>*** لا ينطبق كما في تاريخ الإدراج 17 يوليو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22"/>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ع.</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المعادلات المستخدمة لاحتساب معايير 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bidi w:val="1"/>
              <w:spacing w:before="0" w:after="0" w:line="264" w:lineRule="auto"/>
            </w:pPr>
            <w:r>
              <w:rPr>
                <w:rFonts w:ascii="Arial" w:hAnsi="Arial" w:cs="Arial" w:eastAsia="Arial"/>
                <w:color w:val="0E1E3A"/>
                <w:sz w:val="17"/>
                <w:szCs w:val="17"/>
                <w:rtl/>
              </w:rPr>
              <w:t>الانحراف المعياري</w:t>
            </w:r>
          </w:p>
        </w:tc>
        <w:tc>
          <w:tcPr>
            <w:tcW w:type="dxa" w:w="3326"/>
          </w:tcPr>
          <w:p>
            <w:pPr>
              <w:bidi w:val="1"/>
              <w:spacing w:before="0" w:after="0" w:line="264" w:lineRule="auto"/>
            </w:pPr>
            <w:r>
              <w:rPr>
                <w:rFonts w:ascii="Arial" w:hAnsi="Arial" w:cs="Arial" w:eastAsia="Arial"/>
                <w:color w:val="0E1E3A"/>
                <w:sz w:val="17"/>
                <w:szCs w:val="17"/>
                <w:rtl/>
              </w:rPr>
              <w:t>σp = √[ 1/(N − 1) · Σ(Rp,i − Rp)²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مؤشر شارب</w:t>
            </w:r>
          </w:p>
        </w:tc>
        <w:tc>
          <w:tcPr>
            <w:tcW w:type="dxa" w:w="3326"/>
          </w:tcPr>
          <w:p>
            <w:pPr>
              <w:bidi w:val="1"/>
              <w:spacing w:before="0" w:after="0" w:line="264" w:lineRule="auto"/>
            </w:pPr>
            <w:r>
              <w:rPr>
                <w:rFonts w:ascii="Arial" w:hAnsi="Arial" w:cs="Arial" w:eastAsia="Arial"/>
                <w:color w:val="0E1E3A"/>
                <w:sz w:val="17"/>
                <w:szCs w:val="17"/>
                <w:rtl/>
              </w:rPr>
              <w:t>[(Average Annualised Return − Risk Free Rate) ÷ Standard Deviation]</w:t>
            </w:r>
          </w:p>
        </w:tc>
        <w:tc>
          <w:tcPr>
            <w:tcW w:type="dxa" w:w="3326"/>
          </w:tcPr>
          <w:p>
            <w:pPr>
              <w:bidi w:val="1"/>
              <w:spacing w:before="0" w:after="0" w:line="264" w:lineRule="auto"/>
            </w:pPr>
          </w:p>
        </w:tc>
      </w:tr>
      <w:tr>
        <w:tc>
          <w:tcPr>
            <w:tcW w:type="dxa" w:w="3326"/>
          </w:tcPr>
          <w:p>
            <w:pPr>
              <w:bidi w:val="1"/>
              <w:spacing w:before="0" w:after="0" w:line="264" w:lineRule="auto"/>
            </w:pPr>
            <w:r>
              <w:rPr>
                <w:rFonts w:ascii="Arial" w:hAnsi="Arial" w:cs="Arial" w:eastAsia="Arial"/>
                <w:color w:val="0E1E3A"/>
                <w:sz w:val="17"/>
                <w:szCs w:val="17"/>
                <w:rtl/>
              </w:rPr>
              <w:t>خطأ التتبع (Tracking Error)</w:t>
            </w:r>
          </w:p>
        </w:tc>
        <w:tc>
          <w:tcPr>
            <w:tcW w:type="dxa" w:w="3326"/>
          </w:tcPr>
          <w:p>
            <w:pPr>
              <w:bidi w:val="1"/>
              <w:spacing w:before="0" w:after="0" w:line="264" w:lineRule="auto"/>
            </w:pPr>
            <w:r>
              <w:rPr>
                <w:rFonts w:ascii="Arial" w:hAnsi="Arial" w:cs="Arial" w:eastAsia="Arial"/>
                <w:color w:val="0E1E3A"/>
                <w:sz w:val="17"/>
                <w:szCs w:val="17"/>
                <w:rtl/>
              </w:rPr>
              <w:t>TE = √[ 1/(N − 1) · Σ[(Rp,i − Rb,i) − (Rp − Rb)]²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Rb,i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Rb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بيتا (Beta)</w:t>
            </w:r>
          </w:p>
        </w:tc>
        <w:tc>
          <w:tcPr>
            <w:tcW w:type="dxa" w:w="3326"/>
          </w:tcPr>
          <w:p>
            <w:pPr>
              <w:bidi w:val="1"/>
              <w:spacing w:before="0" w:after="0" w:line="264" w:lineRule="auto"/>
            </w:pPr>
            <w:r>
              <w:rPr>
                <w:rFonts w:ascii="Arial" w:hAnsi="Arial" w:cs="Arial" w:eastAsia="Arial"/>
                <w:color w:val="0E1E3A"/>
                <w:sz w:val="17"/>
                <w:szCs w:val="17"/>
                <w:rtl/>
              </w:rPr>
              <w:t>β = Cov(Rp, Rb) / Var (Rb)</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Cov(Rp, Rb)= covariance between portfolio and benchmark returns</w:t>
            </w:r>
            <w:r>
              <w:br/>
            </w:r>
            <w:r>
              <w:rPr>
                <w:rFonts w:ascii="Arial" w:hAnsi="Arial" w:cs="Arial" w:eastAsia="Arial"/>
                <w:color w:val="0E1E3A"/>
                <w:sz w:val="17"/>
                <w:szCs w:val="17"/>
                <w:rtl/>
              </w:rPr>
              <w:t>Var (Rb)= variance of benchmark returns</w:t>
            </w:r>
          </w:p>
        </w:tc>
      </w:tr>
      <w:tr>
        <w:tc>
          <w:tcPr>
            <w:tcW w:type="dxa" w:w="3326"/>
          </w:tcPr>
          <w:p>
            <w:pPr>
              <w:bidi w:val="1"/>
              <w:spacing w:before="0" w:after="0" w:line="264" w:lineRule="auto"/>
            </w:pPr>
            <w:r>
              <w:rPr>
                <w:rFonts w:ascii="Arial" w:hAnsi="Arial" w:cs="Arial" w:eastAsia="Arial"/>
                <w:color w:val="0E1E3A"/>
                <w:sz w:val="17"/>
                <w:szCs w:val="17"/>
                <w:rtl/>
              </w:rPr>
              <w:t>ألفا (Alpha)</w:t>
            </w:r>
          </w:p>
        </w:tc>
        <w:tc>
          <w:tcPr>
            <w:tcW w:type="dxa" w:w="3326"/>
          </w:tcPr>
          <w:p>
            <w:pPr>
              <w:bidi w:val="1"/>
              <w:spacing w:before="0" w:after="0" w:line="264" w:lineRule="auto"/>
            </w:pPr>
            <w:r>
              <w:rPr>
                <w:rFonts w:ascii="Arial" w:hAnsi="Arial" w:cs="Arial" w:eastAsia="Arial"/>
                <w:color w:val="0E1E3A"/>
                <w:sz w:val="17"/>
                <w:szCs w:val="17"/>
                <w:rtl/>
              </w:rPr>
              <w:t>α = Rp − [ Rf + β ∗ (Rb − Rf)]</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 average portfolio return</w:t>
            </w:r>
            <w:r>
              <w:br/>
            </w:r>
            <w:r>
              <w:rPr>
                <w:rFonts w:ascii="Arial" w:hAnsi="Arial" w:cs="Arial" w:eastAsia="Arial"/>
                <w:color w:val="0E1E3A"/>
                <w:sz w:val="17"/>
                <w:szCs w:val="17"/>
                <w:rtl/>
              </w:rPr>
              <w:t>(Rb)= average benchmark return</w:t>
            </w:r>
            <w:r>
              <w:br/>
            </w:r>
            <w:r>
              <w:rPr>
                <w:rFonts w:ascii="Arial" w:hAnsi="Arial" w:cs="Arial" w:eastAsia="Arial"/>
                <w:color w:val="0E1E3A"/>
                <w:sz w:val="17"/>
                <w:szCs w:val="17"/>
                <w:rtl/>
              </w:rPr>
              <w:t>(Rf)= risk free rate</w:t>
            </w:r>
            <w:r>
              <w:br/>
            </w:r>
            <w:r>
              <w:rPr>
                <w:rFonts w:ascii="Arial" w:hAnsi="Arial" w:cs="Arial" w:eastAsia="Arial"/>
                <w:color w:val="0E1E3A"/>
                <w:sz w:val="17"/>
                <w:szCs w:val="17"/>
                <w:rtl/>
              </w:rPr>
              <w:t>β= portfolio beta</w:t>
            </w:r>
          </w:p>
        </w:tc>
      </w:tr>
      <w:tr>
        <w:tc>
          <w:tcPr>
            <w:tcW w:type="dxa" w:w="3326"/>
          </w:tcPr>
          <w:p>
            <w:pPr>
              <w:bidi w:val="1"/>
              <w:spacing w:before="0" w:after="0" w:line="264" w:lineRule="auto"/>
            </w:pPr>
            <w:r>
              <w:rPr>
                <w:rFonts w:ascii="Arial" w:hAnsi="Arial" w:cs="Arial" w:eastAsia="Arial"/>
                <w:color w:val="0E1E3A"/>
                <w:sz w:val="17"/>
                <w:szCs w:val="17"/>
                <w:rtl/>
              </w:rPr>
              <w:t>مؤشر المعلومات</w:t>
            </w:r>
          </w:p>
        </w:tc>
        <w:tc>
          <w:tcPr>
            <w:tcW w:type="dxa" w:w="3326"/>
          </w:tcPr>
          <w:p>
            <w:pPr>
              <w:bidi w:val="1"/>
              <w:spacing w:before="0" w:after="0" w:line="264" w:lineRule="auto"/>
            </w:pPr>
            <w:r>
              <w:rPr>
                <w:rFonts w:ascii="Arial" w:hAnsi="Arial" w:cs="Arial" w:eastAsia="Arial"/>
                <w:color w:val="0E1E3A"/>
                <w:sz w:val="17"/>
                <w:szCs w:val="17"/>
                <w:rtl/>
              </w:rPr>
              <w:t>IR = (Rp − Rb) / σ (Rp − Rb)</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 = Return of the portfolio</w:t>
            </w:r>
            <w:r>
              <w:br/>
            </w:r>
            <w:r>
              <w:rPr>
                <w:rFonts w:ascii="Arial" w:hAnsi="Arial" w:cs="Arial" w:eastAsia="Arial"/>
                <w:color w:val="0E1E3A"/>
                <w:sz w:val="17"/>
                <w:szCs w:val="17"/>
                <w:rtl/>
              </w:rPr>
              <w:t>Rb = Return of the benchmark</w:t>
            </w:r>
            <w:r>
              <w:br/>
            </w:r>
            <w:r>
              <w:rPr>
                <w:rFonts w:ascii="Arial" w:hAnsi="Arial" w:cs="Arial" w:eastAsia="Arial"/>
                <w:color w:val="0E1E3A"/>
                <w:sz w:val="17"/>
                <w:szCs w:val="17"/>
                <w:rtl/>
              </w:rPr>
              <w:t>Rp-Rb = Active return (the difference between portfolio and benchmark returns</w:t>
            </w:r>
            <w:r>
              <w:br/>
            </w:r>
            <w:r>
              <w:rPr>
                <w:rFonts w:ascii="Arial" w:hAnsi="Arial" w:cs="Arial" w:eastAsia="Arial"/>
                <w:color w:val="0E1E3A"/>
                <w:sz w:val="17"/>
                <w:szCs w:val="17"/>
                <w:rtl/>
              </w:rPr>
              <w:t>σ(Rp−Rb) = Tracking error (standard deviation of the active return)</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23"/>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ف.</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الأداء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2825514"/>
            <wp:docPr id="22" name="Picture 9024"/>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2825514"/>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تاريخ 31 ديسمبر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25"/>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26"/>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2030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المتنوع 2030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2030 المتداول — البيان الربع سنوي الربع الرابع 2025م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