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2"/>
            <wp:cNvGraphicFramePr/>
            <a:graphic>
              <a:graphicData uri="http://schemas.openxmlformats.org/drawingml/2006/picture">
                <pic:pic>
                  <pic:nvPicPr>
                    <pic:cNvPr id="9032" name="banner903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10.3422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1.037.104.071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1.037.104.071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1.034.218.073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668.905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3.420.195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985.901.875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3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للشركات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3"/>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1.019.321.340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17.782.731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6" name="Picture 9047"/>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(30 مارس 2023م)</w:t>
            </w:r>
          </w:p>
        </w:tc>
        <w:tc>
          <w:tcPr>
            <w:tcW w:type="dxa" w:w="6860"/>
          </w:tcPr>
          <w:p>
            <w:pPr>
              <w:bidi w:val="1"/>
              <w:spacing w:before="0" w:after="0" w:line="276" w:lineRule="auto"/>
            </w:pPr>
            <w:r>
              <w:rPr>
                <w:rFonts w:ascii="Arial" w:hAnsi="Arial" w:cs="Arial" w:eastAsia="Arial"/>
                <w:b/>
                <w:bCs/>
                <w:color w:val="0E1E3A"/>
                <w:sz w:val="18"/>
                <w:szCs w:val="18"/>
                <w:rtl/>
              </w:rPr>
              <w:t>5.97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29 ديسمبر 2022م إلى 30 مارس 2023م)</w:t>
            </w:r>
          </w:p>
        </w:tc>
        <w:tc>
          <w:tcPr>
            <w:tcW w:type="dxa" w:w="6860"/>
          </w:tcPr>
          <w:p>
            <w:pPr>
              <w:bidi w:val="1"/>
              <w:spacing w:before="0" w:after="0" w:line="276" w:lineRule="auto"/>
            </w:pPr>
            <w:r>
              <w:rPr>
                <w:rFonts w:ascii="Arial" w:hAnsi="Arial" w:cs="Arial" w:eastAsia="Arial"/>
                <w:b/>
                <w:bCs/>
                <w:color w:val="0E1E3A"/>
                <w:sz w:val="18"/>
                <w:szCs w:val="18"/>
              </w:rPr>
              <w:t>‎4.92%‎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2023م)</w:t>
            </w:r>
          </w:p>
        </w:tc>
        <w:tc>
          <w:tcPr>
            <w:tcW w:type="dxa" w:w="6860"/>
          </w:tcPr>
          <w:p>
            <w:pPr>
              <w:bidi w:val="1"/>
              <w:spacing w:before="0" w:after="0" w:line="276" w:lineRule="auto"/>
            </w:pPr>
            <w:r>
              <w:rPr>
                <w:rFonts w:ascii="Arial" w:hAnsi="Arial" w:cs="Arial" w:eastAsia="Arial"/>
                <w:b/>
                <w:bCs/>
                <w:color w:val="0E1E3A"/>
                <w:sz w:val="18"/>
                <w:szCs w:val="18"/>
              </w:rPr>
              <w:t>‎-40.30%‎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w:t>
            </w:r>
          </w:p>
        </w:tc>
        <w:tc>
          <w:tcPr>
            <w:tcW w:type="dxa" w:w="6860"/>
          </w:tcPr>
          <w:p>
            <w:pPr>
              <w:bidi w:val="1"/>
              <w:spacing w:before="0" w:after="0" w:line="276" w:lineRule="auto"/>
            </w:pPr>
            <w:r>
              <w:rPr>
                <w:rFonts w:ascii="Arial" w:hAnsi="Arial" w:cs="Arial" w:eastAsia="Arial"/>
                <w:b/>
                <w:bCs/>
                <w:color w:val="0E1E3A"/>
                <w:sz w:val="18"/>
                <w:szCs w:val="18"/>
                <w:rtl/>
              </w:rPr>
              <w:t>100,000,000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النصف 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حيث يقوم الصندوق بتوزيع الأرباح الرأسمالية (إن وجدت) المحققة وغير المحققة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الأولى</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4.440.179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2.884.996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83.192.956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3.029.317.96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93.547.449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30 مارس 2023م</w:t>
            </w:r>
          </w:p>
        </w:tc>
        <w:tc>
          <w:tcPr>
            <w:tcW w:type="dxa" w:w="6860"/>
          </w:tcPr>
          <w:p>
            <w:pPr>
              <w:bidi w:val="1"/>
              <w:spacing w:before="0" w:after="0" w:line="276" w:lineRule="auto"/>
            </w:pPr>
            <w:r>
              <w:rPr>
                <w:rFonts w:ascii="Arial" w:hAnsi="Arial" w:cs="Arial" w:eastAsia="Arial"/>
                <w:b/>
                <w:bCs/>
                <w:color w:val="0E1E3A"/>
                <w:sz w:val="18"/>
                <w:szCs w:val="18"/>
              </w:rPr>
              <w:t>‎15.67%‎</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‎3.46%‎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w:t>
            </w:r>
          </w:p>
        </w:tc>
        <w:tc>
          <w:tcPr>
            <w:tcW w:type="dxa" w:w="6860"/>
          </w:tcPr>
          <w:p>
            <w:pPr>
              <w:bidi w:val="1"/>
              <w:spacing w:before="0" w:after="0" w:line="276" w:lineRule="auto"/>
            </w:pPr>
            <w:r>
              <w:rPr>
                <w:rFonts w:ascii="Arial" w:hAnsi="Arial" w:cs="Arial" w:eastAsia="Arial"/>
                <w:b/>
                <w:bCs/>
                <w:color w:val="0E1E3A"/>
                <w:sz w:val="18"/>
                <w:szCs w:val="18"/>
                <w:rtl/>
              </w:rPr>
              <w:t>16.32</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9.4409 ر.س.</w:t>
            </w:r>
          </w:p>
        </w:tc>
        <w:tc>
          <w:tcPr>
            <w:tcW w:type="dxa" w:w="3326"/>
          </w:tcPr>
          <w:p>
            <w:pPr>
              <w:bidi w:val="1"/>
              <w:spacing w:before="0" w:after="0" w:line="264" w:lineRule="auto"/>
            </w:pPr>
            <w:r>
              <w:rPr>
                <w:rFonts w:ascii="Arial" w:hAnsi="Arial" w:cs="Arial" w:eastAsia="Arial"/>
                <w:color w:val="0E1E3A"/>
                <w:sz w:val="17"/>
                <w:szCs w:val="17"/>
                <w:rtl/>
              </w:rPr>
              <w:t>88.7616</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10.3461 ر.س.</w:t>
            </w:r>
          </w:p>
        </w:tc>
        <w:tc>
          <w:tcPr>
            <w:tcW w:type="dxa" w:w="3326"/>
          </w:tcPr>
          <w:p>
            <w:pPr>
              <w:bidi w:val="1"/>
              <w:spacing w:before="0" w:after="0" w:line="264" w:lineRule="auto"/>
            </w:pPr>
            <w:r>
              <w:rPr>
                <w:rFonts w:ascii="Arial" w:hAnsi="Arial" w:cs="Arial" w:eastAsia="Arial"/>
                <w:color w:val="0E1E3A"/>
                <w:sz w:val="17"/>
                <w:szCs w:val="17"/>
                <w:rtl/>
              </w:rPr>
              <w:t>96.4165</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‎9.59%‎</w:t>
            </w:r>
          </w:p>
        </w:tc>
        <w:tc>
          <w:tcPr>
            <w:tcW w:type="dxa" w:w="3326"/>
          </w:tcPr>
          <w:p>
            <w:pPr>
              <w:bidi w:val="1"/>
              <w:spacing w:before="0" w:after="0" w:line="264" w:lineRule="auto"/>
            </w:pPr>
            <w:r>
              <w:rPr>
                <w:rFonts w:ascii="Arial" w:hAnsi="Arial" w:cs="Arial" w:eastAsia="Arial"/>
                <w:color w:val="0E1E3A"/>
                <w:sz w:val="17"/>
                <w:szCs w:val="17"/>
              </w:rPr>
              <w:t>‎8.62%‎</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‎9.59%‎</w:t>
            </w:r>
          </w:p>
        </w:tc>
        <w:tc>
          <w:tcPr>
            <w:tcW w:type="dxa" w:w="1663"/>
          </w:tcPr>
          <w:p>
            <w:pPr>
              <w:bidi w:val="1"/>
              <w:spacing w:before="0" w:after="0" w:line="264" w:lineRule="auto"/>
            </w:pPr>
            <w:r>
              <w:rPr>
                <w:rFonts w:ascii="Arial" w:hAnsi="Arial" w:cs="Arial" w:eastAsia="Arial"/>
                <w:color w:val="0E1E3A"/>
                <w:sz w:val="17"/>
                <w:szCs w:val="17"/>
              </w:rPr>
              <w:t>‎9.59%‎</w:t>
            </w:r>
          </w:p>
        </w:tc>
        <w:tc>
          <w:tcPr>
            <w:tcW w:type="dxa" w:w="1663"/>
          </w:tcPr>
          <w:p>
            <w:pPr>
              <w:bidi w:val="1"/>
              <w:spacing w:before="0" w:after="0" w:line="264" w:lineRule="auto"/>
            </w:pPr>
            <w:r>
              <w:rPr>
                <w:rFonts w:ascii="Arial" w:hAnsi="Arial" w:cs="Arial" w:eastAsia="Arial"/>
                <w:color w:val="0E1E3A"/>
                <w:sz w:val="17"/>
                <w:szCs w:val="17"/>
              </w:rPr>
              <w:t>‎3.46%‎</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‎8.62%‎</w:t>
            </w:r>
          </w:p>
        </w:tc>
        <w:tc>
          <w:tcPr>
            <w:tcW w:type="dxa" w:w="1663"/>
          </w:tcPr>
          <w:p>
            <w:pPr>
              <w:bidi w:val="1"/>
              <w:spacing w:before="0" w:after="0" w:line="264" w:lineRule="auto"/>
            </w:pPr>
            <w:r>
              <w:rPr>
                <w:rFonts w:ascii="Arial" w:hAnsi="Arial" w:cs="Arial" w:eastAsia="Arial"/>
                <w:color w:val="0E1E3A"/>
                <w:sz w:val="17"/>
                <w:szCs w:val="17"/>
              </w:rPr>
              <w:t>‎8.62%‎</w:t>
            </w:r>
          </w:p>
        </w:tc>
        <w:tc>
          <w:tcPr>
            <w:tcW w:type="dxa" w:w="1663"/>
          </w:tcPr>
          <w:p>
            <w:pPr>
              <w:bidi w:val="1"/>
              <w:spacing w:before="0" w:after="0" w:line="264" w:lineRule="auto"/>
            </w:pPr>
            <w:r>
              <w:rPr>
                <w:rFonts w:ascii="Arial" w:hAnsi="Arial" w:cs="Arial" w:eastAsia="Arial"/>
                <w:color w:val="0E1E3A"/>
                <w:sz w:val="17"/>
                <w:szCs w:val="17"/>
              </w:rPr>
              <w:t>‎1.33%‎</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‎0.96%‎</w:t>
            </w:r>
          </w:p>
        </w:tc>
        <w:tc>
          <w:tcPr>
            <w:tcW w:type="dxa" w:w="1663"/>
          </w:tcPr>
          <w:p>
            <w:pPr>
              <w:bidi w:val="1"/>
              <w:spacing w:before="0" w:after="0" w:line="264" w:lineRule="auto"/>
            </w:pPr>
            <w:r>
              <w:rPr>
                <w:rFonts w:ascii="Arial" w:hAnsi="Arial" w:cs="Arial" w:eastAsia="Arial"/>
                <w:color w:val="0E1E3A"/>
                <w:sz w:val="17"/>
                <w:szCs w:val="17"/>
              </w:rPr>
              <w:t>‎0.96%‎</w:t>
            </w:r>
          </w:p>
        </w:tc>
        <w:tc>
          <w:tcPr>
            <w:tcW w:type="dxa" w:w="1663"/>
          </w:tcPr>
          <w:p>
            <w:pPr>
              <w:bidi w:val="1"/>
              <w:spacing w:before="0" w:after="0" w:line="264" w:lineRule="auto"/>
            </w:pPr>
            <w:r>
              <w:rPr>
                <w:rFonts w:ascii="Arial" w:hAnsi="Arial" w:cs="Arial" w:eastAsia="Arial"/>
                <w:color w:val="0E1E3A"/>
                <w:sz w:val="17"/>
                <w:szCs w:val="17"/>
              </w:rPr>
              <w:t>‎2.13%‎</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الإدراج 27 أبريل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6.34</w:t>
            </w:r>
          </w:p>
        </w:tc>
        <w:tc>
          <w:tcPr>
            <w:tcW w:type="dxa" w:w="1663"/>
          </w:tcPr>
          <w:p>
            <w:pPr>
              <w:bidi w:val="1"/>
              <w:spacing w:before="0" w:after="0" w:line="264" w:lineRule="auto"/>
            </w:pPr>
            <w:r>
              <w:rPr>
                <w:rFonts w:ascii="Arial" w:hAnsi="Arial" w:cs="Arial" w:eastAsia="Arial"/>
                <w:color w:val="0E1E3A"/>
                <w:sz w:val="17"/>
                <w:szCs w:val="17"/>
                <w:rtl/>
              </w:rPr>
              <w:t>6.34</w:t>
            </w:r>
          </w:p>
        </w:tc>
        <w:tc>
          <w:tcPr>
            <w:tcW w:type="dxa" w:w="1663"/>
          </w:tcPr>
          <w:p>
            <w:pPr>
              <w:bidi w:val="1"/>
              <w:spacing w:before="0" w:after="0" w:line="264" w:lineRule="auto"/>
            </w:pPr>
            <w:r>
              <w:rPr>
                <w:rFonts w:ascii="Arial" w:hAnsi="Arial" w:cs="Arial" w:eastAsia="Arial"/>
                <w:color w:val="0E1E3A"/>
                <w:sz w:val="17"/>
                <w:szCs w:val="17"/>
                <w:rtl/>
              </w:rPr>
              <w:t>16.40</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0.01</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4.98</w:t>
            </w:r>
          </w:p>
        </w:tc>
        <w:tc>
          <w:tcPr>
            <w:tcW w:type="dxa" w:w="1663"/>
          </w:tcPr>
          <w:p>
            <w:pPr>
              <w:bidi w:val="1"/>
              <w:spacing w:before="0" w:after="0" w:line="264" w:lineRule="auto"/>
            </w:pPr>
            <w:r>
              <w:rPr>
                <w:rFonts w:ascii="Arial" w:hAnsi="Arial" w:cs="Arial" w:eastAsia="Arial"/>
                <w:color w:val="0E1E3A"/>
                <w:sz w:val="17"/>
                <w:szCs w:val="17"/>
                <w:rtl/>
              </w:rPr>
              <w:t>4.98</w:t>
            </w:r>
          </w:p>
        </w:tc>
        <w:tc>
          <w:tcPr>
            <w:tcW w:type="dxa" w:w="1663"/>
          </w:tcPr>
          <w:p>
            <w:pPr>
              <w:bidi w:val="1"/>
              <w:spacing w:before="0" w:after="0" w:line="264" w:lineRule="auto"/>
            </w:pPr>
            <w:r>
              <w:rPr>
                <w:rFonts w:ascii="Arial" w:hAnsi="Arial" w:cs="Arial" w:eastAsia="Arial"/>
                <w:color w:val="0E1E3A"/>
                <w:sz w:val="17"/>
                <w:szCs w:val="17"/>
                <w:rtl/>
              </w:rPr>
              <w:t>15.69</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0.66</w:t>
            </w:r>
          </w:p>
        </w:tc>
        <w:tc>
          <w:tcPr>
            <w:tcW w:type="dxa" w:w="1663"/>
          </w:tcPr>
          <w:p>
            <w:pPr>
              <w:bidi w:val="1"/>
              <w:spacing w:before="0" w:after="0" w:line="264" w:lineRule="auto"/>
            </w:pPr>
            <w:r>
              <w:rPr>
                <w:rFonts w:ascii="Arial" w:hAnsi="Arial" w:cs="Arial" w:eastAsia="Arial"/>
                <w:color w:val="0E1E3A"/>
                <w:sz w:val="17"/>
                <w:szCs w:val="17"/>
                <w:rtl/>
              </w:rPr>
              <w:t>0.66</w:t>
            </w:r>
          </w:p>
        </w:tc>
        <w:tc>
          <w:tcPr>
            <w:tcW w:type="dxa" w:w="1663"/>
          </w:tcPr>
          <w:p>
            <w:pPr>
              <w:bidi w:val="1"/>
              <w:spacing w:before="0" w:after="0" w:line="264" w:lineRule="auto"/>
            </w:pPr>
            <w:r>
              <w:rPr>
                <w:rFonts w:ascii="Arial" w:hAnsi="Arial" w:cs="Arial" w:eastAsia="Arial"/>
                <w:color w:val="0E1E3A"/>
                <w:sz w:val="17"/>
                <w:szCs w:val="17"/>
                <w:rtl/>
              </w:rPr>
              <w:t>0.53</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1.57</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0.17</w:t>
            </w:r>
          </w:p>
        </w:tc>
        <w:tc>
          <w:tcPr>
            <w:tcW w:type="dxa" w:w="1663"/>
          </w:tcPr>
          <w:p>
            <w:pPr>
              <w:bidi w:val="1"/>
              <w:spacing w:before="0" w:after="0" w:line="264" w:lineRule="auto"/>
            </w:pPr>
            <w:r>
              <w:rPr>
                <w:rFonts w:ascii="Arial" w:hAnsi="Arial" w:cs="Arial" w:eastAsia="Arial"/>
                <w:color w:val="0E1E3A"/>
                <w:sz w:val="17"/>
                <w:szCs w:val="17"/>
                <w:rtl/>
              </w:rPr>
              <w:t>0.17</w:t>
            </w:r>
          </w:p>
        </w:tc>
        <w:tc>
          <w:tcPr>
            <w:tcW w:type="dxa" w:w="1663"/>
          </w:tcPr>
          <w:p>
            <w:pPr>
              <w:bidi w:val="1"/>
              <w:spacing w:before="0" w:after="0" w:line="264" w:lineRule="auto"/>
            </w:pPr>
            <w:r>
              <w:rPr>
                <w:rFonts w:ascii="Arial" w:hAnsi="Arial" w:cs="Arial" w:eastAsia="Arial"/>
                <w:color w:val="0E1E3A"/>
                <w:sz w:val="17"/>
                <w:szCs w:val="17"/>
                <w:rtl/>
              </w:rPr>
              <w:t>0.10</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6"/>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خلال الربع الأول 2023م، حدثت مفاجأة إيجابية في أسواق الأسهم العالمية، نتجت بشكل رئيسي عن تحسن المناخ الاقتصادي وانخفاض أسعار النفط، والأهم من ذلك كله إعادة فتح الاقتصاد الصيني.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يتوقع صندوق النقد الدولي أن ينمو الاقتصاد العالمي بنسبة </w:t>
      </w:r>
      <w:r>
        <w:rPr>
          <w:rFonts w:ascii="Arial" w:hAnsi="Arial" w:cs="Arial" w:eastAsia="Arial"/>
          <w:color w:val="0E1E3A"/>
          <w:sz w:val="20"/>
          <w:szCs w:val="20"/>
        </w:rPr>
        <w:t>‎2.9%‎</w:t>
      </w:r>
      <w:r>
        <w:rPr>
          <w:rFonts w:ascii="Arial" w:hAnsi="Arial" w:cs="Arial" w:eastAsia="Arial"/>
          <w:color w:val="0E1E3A"/>
          <w:sz w:val="20"/>
          <w:szCs w:val="20"/>
          <w:rtl/>
        </w:rPr>
        <w:t xml:space="preserve">، والاقتصادات المتقدمة بنسبة </w:t>
      </w:r>
      <w:r>
        <w:rPr>
          <w:rFonts w:ascii="Arial" w:hAnsi="Arial" w:cs="Arial" w:eastAsia="Arial"/>
          <w:color w:val="0E1E3A"/>
          <w:sz w:val="20"/>
          <w:szCs w:val="20"/>
        </w:rPr>
        <w:t>‎1.2%‎</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‎4.0%‎</w:t>
      </w:r>
      <w:r>
        <w:rPr>
          <w:rFonts w:ascii="Arial" w:hAnsi="Arial" w:cs="Arial" w:eastAsia="Arial"/>
          <w:color w:val="0E1E3A"/>
          <w:sz w:val="20"/>
          <w:szCs w:val="20"/>
          <w:rtl/>
        </w:rPr>
        <w:t xml:space="preserve"> في العام 2023م. وتأخذ أسعار أسواق الأسهم العالمية في الاعتبار تباطؤ الاقتصاد العالمي مع انحسار المخاوف من حدوث ركود اقتصادي وانخفاض معدل التضخم وإعادة فتح الاقتصاد الصيني.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الإسترشادي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59"/>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الأول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