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2"/>
            <wp:cNvGraphicFramePr/>
            <a:graphic>
              <a:graphicData uri="http://schemas.openxmlformats.org/drawingml/2006/picture">
                <pic:pic>
                  <pic:nvPicPr>
                    <pic:cNvPr id="9032" name="banner9032.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3"/>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Growth and Income Traded Fund (“the Fund”) is a closed-ended Shari’a-compliant investment traded public equity fund established in accordance with the applicable laws and regulations of the Kingdom of Saudi Arabia and regulated by the Capital Market Authority (CMA). The Fund’s investment objective is to increase the Fund’s Net Asset Value by boosting the performance of the Fund’s investments in the long term and generating current income to investors from the dividend distributions of the companies in which the Fund invests, in addition to part of the capital appreciation resulting from the growth of market value of the securities invested in. This is achieved by investing in a diversified portfolio of global equities, public and private equities, initial public offerings of companies, private placements, cash, and cash equivalents.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4701</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AKGRINF AB EQUITY</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Equity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27 April 2022</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10.3422</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1.037.104.071</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w:t>
            </w:r>
          </w:p>
        </w:tc>
        <w:tc>
          <w:tcPr>
            <w:tcW w:type="dxa" w:w="6860"/>
          </w:tcPr>
          <w:p>
            <w:pPr>
              <w:spacing w:before="0" w:after="0" w:line="276" w:lineRule="auto"/>
            </w:pPr>
            <w:r>
              <w:rPr>
                <w:rFonts w:ascii="Arial" w:hAnsi="Arial" w:cs="Arial" w:eastAsia="Arial"/>
                <w:b/>
                <w:bCs/>
                <w:color w:val="0E1E3A"/>
                <w:sz w:val="18"/>
                <w:szCs w:val="18"/>
              </w:rPr>
              <w:t>SAR 1 BILLION</w:t>
            </w:r>
          </w:p>
        </w:tc>
      </w:tr>
      <w:tr>
        <w:tc>
          <w:tcPr>
            <w:tcW w:type="dxa" w:w="3118"/>
            <w:shd w:val="clear" w:color="auto" w:fill="F3F6FB"/>
          </w:tcPr>
          <w:p>
            <w:pPr>
              <w:spacing w:before="0" w:after="0" w:line="276" w:lineRule="auto"/>
            </w:pPr>
            <w:r>
              <w:rPr>
                <w:rFonts w:ascii="Arial" w:hAnsi="Arial" w:cs="Arial" w:eastAsia="Arial"/>
                <w:color w:val="5A6478"/>
                <w:sz w:val="18"/>
                <w:szCs w:val="18"/>
              </w:rPr>
              <w:t>BORROWING AMOUNT*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VALUE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PERCENTAGE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0.04%</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90 Days</w:t>
            </w:r>
          </w:p>
        </w:tc>
      </w:tr>
    </w:tbl>
    <w:p>
      <w:pPr>
        <w:spacing w:before="0" w:after="40" w:line="300" w:lineRule="auto"/>
      </w:pPr>
    </w:p>
    <w:p>
      <w:pPr>
        <w:spacing w:before="0" w:after="80" w:line="312" w:lineRule="auto"/>
      </w:pPr>
      <w:r>
        <w:rPr>
          <w:rFonts w:ascii="Arial" w:hAnsi="Arial" w:cs="Arial" w:eastAsia="Arial"/>
          <w:color w:val="5A6478"/>
          <w:sz w:val="17"/>
          <w:szCs w:val="17"/>
        </w:rPr>
        <w:t>* As of 31 March 2023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36"/>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FINDICATORS*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Daily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1,037,104,071</w:t>
            </w:r>
          </w:p>
        </w:tc>
      </w:tr>
      <w:tr>
        <w:tc>
          <w:tcPr>
            <w:tcW w:type="dxa" w:w="3118"/>
            <w:shd w:val="clear" w:color="auto" w:fill="F3F6FB"/>
          </w:tcPr>
          <w:p>
            <w:pPr>
              <w:spacing w:before="0" w:after="0" w:line="276" w:lineRule="auto"/>
            </w:pPr>
            <w:r>
              <w:rPr>
                <w:rFonts w:ascii="Arial" w:hAnsi="Arial" w:cs="Arial" w:eastAsia="Arial"/>
                <w:color w:val="5A6478"/>
                <w:sz w:val="18"/>
                <w:szCs w:val="18"/>
              </w:rPr>
              <w:t>FUND NET ASSET VALUE*</w:t>
            </w:r>
          </w:p>
        </w:tc>
        <w:tc>
          <w:tcPr>
            <w:tcW w:type="dxa" w:w="6860"/>
          </w:tcPr>
          <w:p>
            <w:pPr>
              <w:spacing w:before="0" w:after="0" w:line="276" w:lineRule="auto"/>
            </w:pPr>
            <w:r>
              <w:rPr>
                <w:rFonts w:ascii="Arial" w:hAnsi="Arial" w:cs="Arial" w:eastAsia="Arial"/>
                <w:b/>
                <w:bCs/>
                <w:color w:val="0E1E3A"/>
                <w:sz w:val="18"/>
                <w:szCs w:val="18"/>
              </w:rPr>
              <w:t>SAR 1,034,218,073</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TRANSACTION EXPENSES FOR THE REPORTING QUARTER</w:t>
            </w:r>
          </w:p>
        </w:tc>
        <w:tc>
          <w:tcPr>
            <w:tcW w:type="dxa" w:w="6860"/>
          </w:tcPr>
          <w:p>
            <w:pPr>
              <w:spacing w:before="0" w:after="0" w:line="276" w:lineRule="auto"/>
            </w:pPr>
            <w:r>
              <w:rPr>
                <w:rFonts w:ascii="Arial" w:hAnsi="Arial" w:cs="Arial" w:eastAsia="Arial"/>
                <w:b/>
                <w:bCs/>
                <w:color w:val="0E1E3A"/>
                <w:sz w:val="18"/>
                <w:szCs w:val="18"/>
              </w:rPr>
              <w:t>SAR 668,905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w:t>
            </w:r>
          </w:p>
        </w:tc>
        <w:tc>
          <w:tcPr>
            <w:tcW w:type="dxa" w:w="6860"/>
          </w:tcPr>
          <w:p>
            <w:pPr>
              <w:spacing w:before="0" w:after="0" w:line="276" w:lineRule="auto"/>
            </w:pPr>
            <w:r>
              <w:rPr>
                <w:rFonts w:ascii="Arial" w:hAnsi="Arial" w:cs="Arial" w:eastAsia="Arial"/>
                <w:b/>
                <w:bCs/>
                <w:color w:val="0E1E3A"/>
                <w:sz w:val="18"/>
                <w:szCs w:val="18"/>
              </w:rPr>
              <w:t>0.33%</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0.33%</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0.35%</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AND FEES FOR THE REPORTING QUARTER</w:t>
            </w:r>
          </w:p>
        </w:tc>
        <w:tc>
          <w:tcPr>
            <w:tcW w:type="dxa" w:w="6860"/>
          </w:tcPr>
          <w:p>
            <w:pPr>
              <w:spacing w:before="0" w:after="0" w:line="276" w:lineRule="auto"/>
            </w:pPr>
            <w:r>
              <w:rPr>
                <w:rFonts w:ascii="Arial" w:hAnsi="Arial" w:cs="Arial" w:eastAsia="Arial"/>
                <w:b/>
                <w:bCs/>
                <w:color w:val="0E1E3A"/>
                <w:sz w:val="18"/>
                <w:szCs w:val="18"/>
              </w:rPr>
              <w:t>SAR 3,420,195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0.35%</w:t>
            </w:r>
          </w:p>
        </w:tc>
      </w:tr>
    </w:tbl>
    <w:p>
      <w:pPr>
        <w:spacing w:before="0" w:after="40" w:line="300" w:lineRule="auto"/>
      </w:pPr>
    </w:p>
    <w:p>
      <w:pPr>
        <w:spacing w:before="0" w:after="80" w:line="312" w:lineRule="auto"/>
      </w:pPr>
      <w:r>
        <w:rPr>
          <w:rFonts w:ascii="Arial" w:hAnsi="Arial" w:cs="Arial" w:eastAsia="Arial"/>
          <w:color w:val="5A6478"/>
          <w:sz w:val="17"/>
          <w:szCs w:val="17"/>
        </w:rPr>
        <w:t>* As of 31 March 2023 (Unaudited).</w:t>
      </w:r>
      <w:r>
        <w:br/>
      </w:r>
      <w:r>
        <w:rPr>
          <w:rFonts w:ascii="Arial" w:hAnsi="Arial" w:cs="Arial" w:eastAsia="Arial"/>
          <w:color w:val="5A6478"/>
          <w:sz w:val="17"/>
          <w:szCs w:val="17"/>
        </w:rPr>
        <w:t>** Fund's expenses and fees are total Fund expenses during the reporting quarter, excluding financing costs.</w:t>
      </w:r>
      <w:r>
        <w:br/>
      </w:r>
      <w:r>
        <w:rPr>
          <w:rFonts w:ascii="Arial" w:hAnsi="Arial" w:cs="Arial" w:eastAsia="Arial"/>
          <w:color w:val="5A6478"/>
          <w:sz w:val="17"/>
          <w:szCs w:val="17"/>
        </w:rPr>
        <w:t>*** Fund's costs are all Fund's fees and expenses Including financing costs.</w:t>
      </w:r>
      <w:r>
        <w:br/>
      </w:r>
      <w:r>
        <w:rPr>
          <w:rFonts w:ascii="Arial" w:hAnsi="Arial" w:cs="Arial" w:eastAsia="Arial"/>
          <w:color w:val="5A6478"/>
          <w:sz w:val="17"/>
          <w:szCs w:val="17"/>
        </w:rPr>
        <w:t>**** Fund's average net asset value during the reporting quarter = SAR 985,901,875.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39"/>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10 LISTED GLOBAL AND LOCAL EQUITIES COMPANIES</w:t>
      </w:r>
    </w:p>
    <w:p>
      <w:pPr>
        <w:spacing w:before="0" w:after="80" w:line="240" w:lineRule="auto"/>
        <w:jc w:val="center"/>
      </w:pPr>
      <w:r>
        <w:drawing>
          <wp:inline xmlns:a="http://schemas.openxmlformats.org/drawingml/2006/main" xmlns:pic="http://schemas.openxmlformats.org/drawingml/2006/picture">
            <wp:extent cx="6336000" cy="2654270"/>
            <wp:docPr id="10" name="Picture 9041"/>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65427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SECTORS OF FUND’S UNDERLYING INVESTEE COMPANIES</w:t>
      </w:r>
    </w:p>
    <w:p>
      <w:pPr>
        <w:spacing w:before="0" w:after="80" w:line="240" w:lineRule="auto"/>
        <w:jc w:val="center"/>
      </w:pPr>
      <w:r>
        <w:drawing>
          <wp:inline xmlns:a="http://schemas.openxmlformats.org/drawingml/2006/main" xmlns:pic="http://schemas.openxmlformats.org/drawingml/2006/picture">
            <wp:extent cx="6336000" cy="2654270"/>
            <wp:docPr id="12" name="Picture 9043"/>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265427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LISTED SHARES</w:t>
            </w:r>
          </w:p>
        </w:tc>
        <w:tc>
          <w:tcPr>
            <w:tcW w:type="dxa" w:w="6860"/>
          </w:tcPr>
          <w:p>
            <w:pPr>
              <w:spacing w:before="0" w:after="0" w:line="276" w:lineRule="auto"/>
            </w:pPr>
            <w:r>
              <w:rPr>
                <w:rFonts w:ascii="Arial" w:hAnsi="Arial" w:cs="Arial" w:eastAsia="Arial"/>
                <w:b/>
                <w:bCs/>
                <w:color w:val="0E1E3A"/>
                <w:sz w:val="18"/>
                <w:szCs w:val="18"/>
              </w:rPr>
              <w:t>SAR 1,019,321,340</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17,782,731</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1,000,000,000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691,000,000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SEPTEMBER 2022</w:t>
            </w:r>
          </w:p>
        </w:tc>
        <w:tc>
          <w:tcPr>
            <w:tcW w:type="dxa" w:w="6860"/>
          </w:tcPr>
          <w:p>
            <w:pPr>
              <w:spacing w:before="0" w:after="0" w:line="276" w:lineRule="auto"/>
            </w:pPr>
            <w:r>
              <w:rPr>
                <w:rFonts w:ascii="Arial" w:hAnsi="Arial" w:cs="Arial" w:eastAsia="Arial"/>
                <w:b/>
                <w:bCs/>
                <w:color w:val="0E1E3A"/>
                <w:sz w:val="18"/>
                <w:szCs w:val="18"/>
              </w:rPr>
              <w:t>SAR 617,000,000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DECEMBER 2022</w:t>
            </w:r>
          </w:p>
        </w:tc>
        <w:tc>
          <w:tcPr>
            <w:tcW w:type="dxa" w:w="6860"/>
          </w:tcPr>
          <w:p>
            <w:pPr>
              <w:spacing w:before="0" w:after="0" w:line="276" w:lineRule="auto"/>
            </w:pPr>
            <w:r>
              <w:rPr>
                <w:rFonts w:ascii="Arial" w:hAnsi="Arial" w:cs="Arial" w:eastAsia="Arial"/>
                <w:b/>
                <w:bCs/>
                <w:color w:val="0E1E3A"/>
                <w:sz w:val="18"/>
                <w:szCs w:val="18"/>
              </w:rPr>
              <w:t>SAR 569,000,000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MARCH 2023</w:t>
            </w:r>
          </w:p>
        </w:tc>
        <w:tc>
          <w:tcPr>
            <w:tcW w:type="dxa" w:w="6860"/>
          </w:tcPr>
          <w:p>
            <w:pPr>
              <w:spacing w:before="0" w:after="0" w:line="276" w:lineRule="auto"/>
            </w:pPr>
            <w:r>
              <w:rPr>
                <w:rFonts w:ascii="Arial" w:hAnsi="Arial" w:cs="Arial" w:eastAsia="Arial"/>
                <w:b/>
                <w:bCs/>
                <w:color w:val="0E1E3A"/>
                <w:sz w:val="18"/>
                <w:szCs w:val="18"/>
              </w:rPr>
              <w:t>SAR 597,000,000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46"/>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77730"/>
            <wp:docPr id="16" name="Picture 9047"/>
            <wp:cNvGraphicFramePr>
              <a:graphicFrameLocks noChangeAspect="1"/>
            </wp:cNvGraphicFramePr>
            <a:graphic>
              <a:graphicData uri="http://schemas.openxmlformats.org/drawingml/2006/picture">
                <pic:pic>
                  <pic:nvPicPr>
                    <pic:cNvPr id="0" name="x6.j.jpg"/>
                    <pic:cNvPicPr/>
                  </pic:nvPicPr>
                  <pic:blipFill>
                    <a:blip r:embed="rId21"/>
                    <a:stretch>
                      <a:fillRect/>
                    </a:stretch>
                  </pic:blipFill>
                  <pic:spPr>
                    <a:xfrm>
                      <a:off x="0" y="0"/>
                      <a:ext cx="6336000" cy="2977730"/>
                    </a:xfrm>
                    <a:prstGeom prst="rect"/>
                  </pic:spPr>
                </pic:pic>
              </a:graphicData>
            </a:graphic>
          </wp:inline>
        </w:drawing>
      </w:r>
    </w:p>
    <w:p>
      <w:pPr>
        <w:spacing w:before="0" w:after="80" w:line="312" w:lineRule="auto"/>
      </w:pPr>
      <w:r>
        <w:rPr>
          <w:rFonts w:ascii="Arial" w:hAnsi="Arial" w:cs="Arial" w:eastAsia="Arial"/>
          <w:color w:val="5A6478"/>
          <w:sz w:val="17"/>
          <w:szCs w:val="17"/>
        </w:rPr>
        <w:t>*Based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Q1 (30 MARCH 2023)</w:t>
            </w:r>
          </w:p>
        </w:tc>
        <w:tc>
          <w:tcPr>
            <w:tcW w:type="dxa" w:w="6860"/>
          </w:tcPr>
          <w:p>
            <w:pPr>
              <w:spacing w:before="0" w:after="0" w:line="276" w:lineRule="auto"/>
            </w:pPr>
            <w:r>
              <w:rPr>
                <w:rFonts w:ascii="Arial" w:hAnsi="Arial" w:cs="Arial" w:eastAsia="Arial"/>
                <w:b/>
                <w:bCs/>
                <w:color w:val="0E1E3A"/>
                <w:sz w:val="18"/>
                <w:szCs w:val="18"/>
              </w:rPr>
              <w:t>SAR 5.97</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DURING THE CURRENT QUARTER COMPARED TO THE PREVIOUS QUARTER (29 DECEMBER 2022 TO 30 MARCH 2023)</w:t>
            </w:r>
          </w:p>
        </w:tc>
        <w:tc>
          <w:tcPr>
            <w:tcW w:type="dxa" w:w="6860"/>
          </w:tcPr>
          <w:p>
            <w:pPr>
              <w:spacing w:before="0" w:after="0" w:line="276" w:lineRule="auto"/>
            </w:pPr>
            <w:r>
              <w:rPr>
                <w:rFonts w:ascii="Arial" w:hAnsi="Arial" w:cs="Arial" w:eastAsia="Arial"/>
                <w:b/>
                <w:bCs/>
                <w:color w:val="0E1E3A"/>
                <w:sz w:val="18"/>
                <w:szCs w:val="18"/>
              </w:rPr>
              <w:t>4.92%</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Q1 2023)</w:t>
            </w:r>
          </w:p>
        </w:tc>
        <w:tc>
          <w:tcPr>
            <w:tcW w:type="dxa" w:w="6860"/>
          </w:tcPr>
          <w:p>
            <w:pPr>
              <w:spacing w:before="0" w:after="0" w:line="276" w:lineRule="auto"/>
            </w:pPr>
            <w:r>
              <w:rPr>
                <w:rFonts w:ascii="Arial" w:hAnsi="Arial" w:cs="Arial" w:eastAsia="Arial"/>
                <w:b/>
                <w:bCs/>
                <w:color w:val="0E1E3A"/>
                <w:sz w:val="18"/>
                <w:szCs w:val="18"/>
              </w:rPr>
              <w:t>-40.30%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9.06</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5.66</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w:t>
            </w:r>
          </w:p>
        </w:tc>
        <w:tc>
          <w:tcPr>
            <w:tcW w:type="dxa" w:w="6860"/>
          </w:tcPr>
          <w:p>
            <w:pPr>
              <w:spacing w:before="0" w:after="0" w:line="276" w:lineRule="auto"/>
            </w:pPr>
            <w:r>
              <w:rPr>
                <w:rFonts w:ascii="Arial" w:hAnsi="Arial" w:cs="Arial" w:eastAsia="Arial"/>
                <w:b/>
                <w:bCs/>
                <w:color w:val="0E1E3A"/>
                <w:sz w:val="18"/>
                <w:szCs w:val="18"/>
              </w:rPr>
              <w:t>100,000,000 Units</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9"/>
            <wp:cNvGraphicFramePr>
              <a:graphicFrameLocks noChangeAspect="1"/>
            </wp:cNvGraphicFramePr>
            <a:graphic>
              <a:graphicData uri="http://schemas.openxmlformats.org/drawingml/2006/picture">
                <pic:pic>
                  <pic:nvPicPr>
                    <pic:cNvPr id="0" name="ico_737e94dc9d8d67dbf235ae564951a5f7.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aims to distribute 100% of the net returns on the Fund's investments, which only include the distributions of Fund's underlying listed shares twice a year. The Fund will distribute returns within Forty (40) business days after the date of issue of the semi-annual and annual financial statements. The Fund Manager may, at its discretion, distribute up to 50% of the realized and unrealized capital gains twice a year. The Fund will distribute realized and unrealized capital gains (if any) within ten (10) business days after the date of issue of the semi-annual and annual financial statements. Details of the cash distributions will be announced on Saudi Tadawul's website.</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LAST SEMI-ANNUAL PERIOD</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 DISTRIBUTIONS FOR THE LAST SEMI-ANNUAL PERIOD PER UNIT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IN THE REPORTING QUARTER TO INITIAL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TO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GAINS RECEIVED ON THE FUND'S UNDERLYING LISTED SHARES</w:t>
            </w:r>
          </w:p>
        </w:tc>
        <w:tc>
          <w:tcPr>
            <w:tcW w:type="dxa" w:w="6860"/>
          </w:tcPr>
          <w:p>
            <w:pPr>
              <w:spacing w:before="0" w:after="0" w:line="276" w:lineRule="auto"/>
            </w:pPr>
            <w:r>
              <w:rPr>
                <w:rFonts w:ascii="Arial" w:hAnsi="Arial" w:cs="Arial" w:eastAsia="Arial"/>
                <w:b/>
                <w:bCs/>
                <w:color w:val="0E1E3A"/>
                <w:sz w:val="18"/>
                <w:szCs w:val="18"/>
              </w:rPr>
              <w:t>SAR 4,440,179</w:t>
            </w:r>
          </w:p>
        </w:tc>
      </w:tr>
      <w:tr>
        <w:tc>
          <w:tcPr>
            <w:tcW w:type="dxa" w:w="3118"/>
            <w:shd w:val="clear" w:color="auto" w:fill="F3F6FB"/>
          </w:tcPr>
          <w:p>
            <w:pPr>
              <w:spacing w:before="0" w:after="0" w:line="276" w:lineRule="auto"/>
            </w:pPr>
            <w:r>
              <w:rPr>
                <w:rFonts w:ascii="Arial" w:hAnsi="Arial" w:cs="Arial" w:eastAsia="Arial"/>
                <w:color w:val="5A6478"/>
                <w:sz w:val="18"/>
                <w:szCs w:val="18"/>
              </w:rPr>
              <w:t>REALIZED GAIN ON THE FUND'S INVESTMENTS</w:t>
            </w:r>
          </w:p>
        </w:tc>
        <w:tc>
          <w:tcPr>
            <w:tcW w:type="dxa" w:w="6860"/>
          </w:tcPr>
          <w:p>
            <w:pPr>
              <w:spacing w:before="0" w:after="0" w:line="276" w:lineRule="auto"/>
            </w:pPr>
            <w:r>
              <w:rPr>
                <w:rFonts w:ascii="Arial" w:hAnsi="Arial" w:cs="Arial" w:eastAsia="Arial"/>
                <w:b/>
                <w:bCs/>
                <w:color w:val="0E1E3A"/>
                <w:sz w:val="18"/>
                <w:szCs w:val="18"/>
              </w:rPr>
              <w:t>SAR 2,884,996</w:t>
            </w:r>
          </w:p>
        </w:tc>
      </w:tr>
      <w:tr>
        <w:tc>
          <w:tcPr>
            <w:tcW w:type="dxa" w:w="3118"/>
            <w:shd w:val="clear" w:color="auto" w:fill="F3F6FB"/>
          </w:tcPr>
          <w:p>
            <w:pPr>
              <w:spacing w:before="0" w:after="0" w:line="276" w:lineRule="auto"/>
            </w:pPr>
            <w:r>
              <w:rPr>
                <w:rFonts w:ascii="Arial" w:hAnsi="Arial" w:cs="Arial" w:eastAsia="Arial"/>
                <w:color w:val="5A6478"/>
                <w:sz w:val="18"/>
                <w:szCs w:val="18"/>
              </w:rPr>
              <w:t>UNREALIZED GAIN ON THE FUND'S INVESTMENTS</w:t>
            </w:r>
          </w:p>
        </w:tc>
        <w:tc>
          <w:tcPr>
            <w:tcW w:type="dxa" w:w="6860"/>
          </w:tcPr>
          <w:p>
            <w:pPr>
              <w:spacing w:before="0" w:after="0" w:line="276" w:lineRule="auto"/>
            </w:pPr>
            <w:r>
              <w:rPr>
                <w:rFonts w:ascii="Arial" w:hAnsi="Arial" w:cs="Arial" w:eastAsia="Arial"/>
                <w:b/>
                <w:bCs/>
                <w:color w:val="0E1E3A"/>
                <w:sz w:val="18"/>
                <w:szCs w:val="18"/>
              </w:rPr>
              <w:t>SAR 83,192,956</w:t>
            </w:r>
          </w:p>
        </w:tc>
      </w:tr>
      <w:tr>
        <w:tc>
          <w:tcPr>
            <w:tcW w:type="dxa" w:w="3118"/>
            <w:shd w:val="clear" w:color="auto" w:fill="F3F6FB"/>
          </w:tcPr>
          <w:p>
            <w:pPr>
              <w:spacing w:before="0" w:after="0" w:line="276" w:lineRule="auto"/>
            </w:pPr>
            <w:r>
              <w:rPr>
                <w:rFonts w:ascii="Arial" w:hAnsi="Arial" w:cs="Arial" w:eastAsia="Arial"/>
                <w:color w:val="5A6478"/>
                <w:sz w:val="18"/>
                <w:szCs w:val="18"/>
              </w:rPr>
              <w:t>GAIN FROM FOREIGN CURRENCY RATE DIFFERENCES</w:t>
            </w:r>
          </w:p>
        </w:tc>
        <w:tc>
          <w:tcPr>
            <w:tcW w:type="dxa" w:w="6860"/>
          </w:tcPr>
          <w:p>
            <w:pPr>
              <w:spacing w:before="0" w:after="0" w:line="276" w:lineRule="auto"/>
            </w:pPr>
            <w:r>
              <w:rPr>
                <w:rFonts w:ascii="Arial" w:hAnsi="Arial" w:cs="Arial" w:eastAsia="Arial"/>
                <w:b/>
                <w:bCs/>
                <w:color w:val="0E1E3A"/>
                <w:sz w:val="18"/>
                <w:szCs w:val="18"/>
              </w:rPr>
              <w:t>SAR 3,029,317.96</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93,547,449</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 TO UNIT PRICE AS AT 30 MARCH 2023</w:t>
            </w:r>
          </w:p>
        </w:tc>
        <w:tc>
          <w:tcPr>
            <w:tcW w:type="dxa" w:w="6860"/>
          </w:tcPr>
          <w:p>
            <w:pPr>
              <w:spacing w:before="0" w:after="0" w:line="276" w:lineRule="auto"/>
            </w:pPr>
            <w:r>
              <w:rPr>
                <w:rFonts w:ascii="Arial" w:hAnsi="Arial" w:cs="Arial" w:eastAsia="Arial"/>
                <w:b/>
                <w:bCs/>
                <w:color w:val="0E1E3A"/>
                <w:sz w:val="18"/>
                <w:szCs w:val="18"/>
              </w:rPr>
              <w:t>15.67%</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50"/>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Alkhabeer Global Equity Index</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FUND TOTAL RETURN SINCE THE DATE OF INCEPTION</w:t>
            </w:r>
          </w:p>
        </w:tc>
        <w:tc>
          <w:tcPr>
            <w:tcW w:type="dxa" w:w="6860"/>
          </w:tcPr>
          <w:p>
            <w:pPr>
              <w:spacing w:before="0" w:after="0" w:line="276" w:lineRule="auto"/>
            </w:pPr>
            <w:r>
              <w:rPr>
                <w:rFonts w:ascii="Arial" w:hAnsi="Arial" w:cs="Arial" w:eastAsia="Arial"/>
                <w:b/>
                <w:bCs/>
                <w:color w:val="0E1E3A"/>
                <w:sz w:val="18"/>
                <w:szCs w:val="18"/>
              </w:rPr>
              <w:t>3.46%</w:t>
            </w:r>
          </w:p>
        </w:tc>
      </w:tr>
      <w:tr>
        <w:tc>
          <w:tcPr>
            <w:tcW w:type="dxa" w:w="3118"/>
            <w:shd w:val="clear" w:color="auto" w:fill="F3F6FB"/>
          </w:tcPr>
          <w:p>
            <w:pPr>
              <w:spacing w:before="0" w:after="0" w:line="276" w:lineRule="auto"/>
            </w:pPr>
            <w:r>
              <w:rPr>
                <w:rFonts w:ascii="Arial" w:hAnsi="Arial" w:cs="Arial" w:eastAsia="Arial"/>
                <w:color w:val="5A6478"/>
                <w:sz w:val="18"/>
                <w:szCs w:val="18"/>
              </w:rPr>
              <w:t>P/E RATIO (LAST TWELVE MONTHS)</w:t>
            </w:r>
          </w:p>
        </w:tc>
        <w:tc>
          <w:tcPr>
            <w:tcW w:type="dxa" w:w="6860"/>
          </w:tcPr>
          <w:p>
            <w:pPr>
              <w:spacing w:before="0" w:after="0" w:line="276" w:lineRule="auto"/>
            </w:pPr>
            <w:r>
              <w:rPr>
                <w:rFonts w:ascii="Arial" w:hAnsi="Arial" w:cs="Arial" w:eastAsia="Arial"/>
                <w:b/>
                <w:bCs/>
                <w:color w:val="0E1E3A"/>
                <w:sz w:val="18"/>
                <w:szCs w:val="18"/>
              </w:rPr>
              <w:t>16.32</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Alkhabeer Global Equity Index is an index especially created for the Fund in collaboration with the Index Service Provider, who will calculate the valuations of the companies that are included in the Index and will manage the Index on behalf of the Fund. The Index includes companies which are diversified by sector and size in the largest global capital markets, as well as the largest leading companies in the Kingdom of Saudi Arabia. The companies will be filtered based on a market value exceeding US $ 100 million, and a trade value exceeding US $ 1 million per day. The Index includes 160 global companies representing the largest global capital markets, in addition to the largest 10 listed companies on the Saudi Stock Exchange, compliant with the guidelines of the Shari’a Supervisory Committee. The global companies included in the index are divided by market cap into three categories: the largest 70 in terms of market value of free float shares among large market cap companies, the largest 50 companies in terms of market value of free float shares among medium market cap companies, and the largest 40 companies in terms of market value of free float shares among small market cap companies.</w:t>
      </w:r>
    </w:p>
    <w:p>
      <w:pPr>
        <w:spacing w:before="0" w:after="80" w:line="312" w:lineRule="auto"/>
      </w:pPr>
      <w:r>
        <w:rPr>
          <w:rFonts w:ascii="Arial" w:hAnsi="Arial" w:cs="Arial" w:eastAsia="Arial"/>
          <w:color w:val="0E1E3A"/>
          <w:sz w:val="20"/>
          <w:szCs w:val="20"/>
        </w:rPr>
        <w:t>Large market cap companies are defined as companies representing the largest market capitalization. It is the segment which represents up to 70% of the aggregate capitalization of the market combined, while the medium cap segment represents more than 70% up to 85% of the aggregate market capitalization, and the small cap represents more than 85% up to 100% of the aggregate market capitalization.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52"/>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GROWTH AND INCOME TRADED FUND</w:t>
            </w:r>
          </w:p>
        </w:tc>
        <w:tc>
          <w:tcPr>
            <w:tcW w:type="dxa" w:w="3326"/>
            <w:shd w:val="clear" w:color="auto" w:fill="12284B"/>
          </w:tcPr>
          <w:p>
            <w:pPr>
              <w:spacing w:before="0" w:after="0" w:line="264" w:lineRule="auto"/>
            </w:pPr>
            <w:r>
              <w:rPr>
                <w:rFonts w:ascii="Arial" w:hAnsi="Arial" w:cs="Arial" w:eastAsia="Arial"/>
                <w:b/>
                <w:bCs/>
                <w:color w:val="FFFFFF"/>
                <w:sz w:val="17"/>
                <w:szCs w:val="17"/>
              </w:rPr>
              <w:t>ALKHABEER GLOBAL EQUITY INDEX</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SAR 9.4409</w:t>
            </w:r>
          </w:p>
        </w:tc>
        <w:tc>
          <w:tcPr>
            <w:tcW w:type="dxa" w:w="3326"/>
          </w:tcPr>
          <w:p>
            <w:pPr>
              <w:spacing w:before="0" w:after="0" w:line="264" w:lineRule="auto"/>
            </w:pPr>
            <w:r>
              <w:rPr>
                <w:rFonts w:ascii="Arial" w:hAnsi="Arial" w:cs="Arial" w:eastAsia="Arial"/>
                <w:color w:val="0E1E3A"/>
                <w:sz w:val="17"/>
                <w:szCs w:val="17"/>
              </w:rPr>
              <w:t>88.7616</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SAR 10.3461</w:t>
            </w:r>
          </w:p>
        </w:tc>
        <w:tc>
          <w:tcPr>
            <w:tcW w:type="dxa" w:w="3326"/>
          </w:tcPr>
          <w:p>
            <w:pPr>
              <w:spacing w:before="0" w:after="0" w:line="264" w:lineRule="auto"/>
            </w:pPr>
            <w:r>
              <w:rPr>
                <w:rFonts w:ascii="Arial" w:hAnsi="Arial" w:cs="Arial" w:eastAsia="Arial"/>
                <w:color w:val="0E1E3A"/>
                <w:sz w:val="17"/>
                <w:szCs w:val="17"/>
              </w:rPr>
              <w:t>96.4165</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9.59%</w:t>
            </w:r>
          </w:p>
        </w:tc>
        <w:tc>
          <w:tcPr>
            <w:tcW w:type="dxa" w:w="3326"/>
          </w:tcPr>
          <w:p>
            <w:pPr>
              <w:spacing w:before="0" w:after="0" w:line="264" w:lineRule="auto"/>
            </w:pPr>
            <w:r>
              <w:rPr>
                <w:rFonts w:ascii="Arial" w:hAnsi="Arial" w:cs="Arial" w:eastAsia="Arial"/>
                <w:color w:val="0E1E3A"/>
                <w:sz w:val="17"/>
                <w:szCs w:val="17"/>
              </w:rPr>
              <w:t>8.62%</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5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4"/>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spacing w:before="0" w:after="0" w:line="264" w:lineRule="auto"/>
            </w:pPr>
            <w:r>
              <w:rPr>
                <w:rFonts w:ascii="Arial" w:hAnsi="Arial" w:cs="Arial" w:eastAsia="Arial"/>
                <w:b/>
                <w:bCs/>
                <w:color w:val="FFFFFF"/>
                <w:sz w:val="17"/>
                <w:szCs w:val="17"/>
              </w:rPr>
              <w:t>ITEM</w:t>
            </w:r>
          </w:p>
        </w:tc>
        <w:tc>
          <w:tcPr>
            <w:tcW w:type="dxa" w:w="2494"/>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2494"/>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2494"/>
            <w:shd w:val="clear" w:color="auto" w:fill="12284B"/>
          </w:tcPr>
          <w:p>
            <w:pPr>
              <w:spacing w:before="0" w:after="0" w:line="264" w:lineRule="auto"/>
            </w:pPr>
            <w:r>
              <w:rPr>
                <w:rFonts w:ascii="Arial" w:hAnsi="Arial" w:cs="Arial" w:eastAsia="Arial"/>
                <w:b/>
                <w:bCs/>
                <w:color w:val="FFFFFF"/>
                <w:sz w:val="17"/>
                <w:szCs w:val="17"/>
              </w:rPr>
              <w:t>ONE YEAR*</w:t>
            </w:r>
          </w:p>
        </w:tc>
      </w:tr>
      <w:tr>
        <w:tc>
          <w:tcPr>
            <w:tcW w:type="dxa" w:w="2494"/>
          </w:tcPr>
          <w:p>
            <w:pPr>
              <w:spacing w:before="0" w:after="0" w:line="264" w:lineRule="auto"/>
            </w:pPr>
            <w:r>
              <w:rPr>
                <w:rFonts w:ascii="Arial" w:hAnsi="Arial" w:cs="Arial" w:eastAsia="Arial"/>
                <w:color w:val="0E1E3A"/>
                <w:sz w:val="17"/>
                <w:szCs w:val="17"/>
              </w:rPr>
              <w:t>TOTAL RETURN TO NET ASSET VALUE PER UNIT (FUND PERFORMANCE)</w:t>
            </w:r>
          </w:p>
        </w:tc>
        <w:tc>
          <w:tcPr>
            <w:tcW w:type="dxa" w:w="2494"/>
          </w:tcPr>
          <w:p>
            <w:pPr>
              <w:spacing w:before="0" w:after="0" w:line="264" w:lineRule="auto"/>
            </w:pPr>
            <w:r>
              <w:rPr>
                <w:rFonts w:ascii="Arial" w:hAnsi="Arial" w:cs="Arial" w:eastAsia="Arial"/>
                <w:color w:val="0E1E3A"/>
                <w:sz w:val="17"/>
                <w:szCs w:val="17"/>
              </w:rPr>
              <w:t>9.59%</w:t>
            </w:r>
          </w:p>
        </w:tc>
        <w:tc>
          <w:tcPr>
            <w:tcW w:type="dxa" w:w="2494"/>
          </w:tcPr>
          <w:p>
            <w:pPr>
              <w:spacing w:before="0" w:after="0" w:line="264" w:lineRule="auto"/>
            </w:pPr>
            <w:r>
              <w:rPr>
                <w:rFonts w:ascii="Arial" w:hAnsi="Arial" w:cs="Arial" w:eastAsia="Arial"/>
                <w:color w:val="0E1E3A"/>
                <w:sz w:val="17"/>
                <w:szCs w:val="17"/>
              </w:rPr>
              <w:t>9.59%</w:t>
            </w:r>
          </w:p>
        </w:tc>
        <w:tc>
          <w:tcPr>
            <w:tcW w:type="dxa" w:w="2494"/>
          </w:tcPr>
          <w:p>
            <w:pPr>
              <w:spacing w:before="0" w:after="0" w:line="264" w:lineRule="auto"/>
            </w:pPr>
            <w:r>
              <w:rPr>
                <w:rFonts w:ascii="Arial" w:hAnsi="Arial" w:cs="Arial" w:eastAsia="Arial"/>
                <w:color w:val="0E1E3A"/>
                <w:sz w:val="17"/>
                <w:szCs w:val="17"/>
              </w:rPr>
              <w:t>3.46%</w:t>
            </w:r>
          </w:p>
        </w:tc>
      </w:tr>
      <w:tr>
        <w:tc>
          <w:tcPr>
            <w:tcW w:type="dxa" w:w="2494"/>
          </w:tcPr>
          <w:p>
            <w:pPr>
              <w:spacing w:before="0" w:after="0" w:line="264" w:lineRule="auto"/>
            </w:pPr>
            <w:r>
              <w:rPr>
                <w:rFonts w:ascii="Arial" w:hAnsi="Arial" w:cs="Arial" w:eastAsia="Arial"/>
                <w:color w:val="0E1E3A"/>
                <w:sz w:val="17"/>
                <w:szCs w:val="17"/>
              </w:rPr>
              <w:t>BENCHMARK PERFORMANCE</w:t>
            </w:r>
          </w:p>
        </w:tc>
        <w:tc>
          <w:tcPr>
            <w:tcW w:type="dxa" w:w="2494"/>
          </w:tcPr>
          <w:p>
            <w:pPr>
              <w:spacing w:before="0" w:after="0" w:line="264" w:lineRule="auto"/>
            </w:pPr>
            <w:r>
              <w:rPr>
                <w:rFonts w:ascii="Arial" w:hAnsi="Arial" w:cs="Arial" w:eastAsia="Arial"/>
                <w:color w:val="0E1E3A"/>
                <w:sz w:val="17"/>
                <w:szCs w:val="17"/>
              </w:rPr>
              <w:t>8.62%</w:t>
            </w:r>
          </w:p>
        </w:tc>
        <w:tc>
          <w:tcPr>
            <w:tcW w:type="dxa" w:w="2494"/>
          </w:tcPr>
          <w:p>
            <w:pPr>
              <w:spacing w:before="0" w:after="0" w:line="264" w:lineRule="auto"/>
            </w:pPr>
            <w:r>
              <w:rPr>
                <w:rFonts w:ascii="Arial" w:hAnsi="Arial" w:cs="Arial" w:eastAsia="Arial"/>
                <w:color w:val="0E1E3A"/>
                <w:sz w:val="17"/>
                <w:szCs w:val="17"/>
              </w:rPr>
              <w:t>8.62%</w:t>
            </w:r>
          </w:p>
        </w:tc>
        <w:tc>
          <w:tcPr>
            <w:tcW w:type="dxa" w:w="2494"/>
          </w:tcPr>
          <w:p>
            <w:pPr>
              <w:spacing w:before="0" w:after="0" w:line="264" w:lineRule="auto"/>
            </w:pPr>
            <w:r>
              <w:rPr>
                <w:rFonts w:ascii="Arial" w:hAnsi="Arial" w:cs="Arial" w:eastAsia="Arial"/>
                <w:color w:val="0E1E3A"/>
                <w:sz w:val="17"/>
                <w:szCs w:val="17"/>
              </w:rPr>
              <w:t>1.33%</w:t>
            </w:r>
          </w:p>
        </w:tc>
      </w:tr>
      <w:tr>
        <w:tc>
          <w:tcPr>
            <w:tcW w:type="dxa" w:w="2494"/>
          </w:tcPr>
          <w:p>
            <w:pPr>
              <w:spacing w:before="0" w:after="0" w:line="264" w:lineRule="auto"/>
            </w:pPr>
            <w:r>
              <w:rPr>
                <w:rFonts w:ascii="Arial" w:hAnsi="Arial" w:cs="Arial" w:eastAsia="Arial"/>
                <w:color w:val="0E1E3A"/>
                <w:sz w:val="17"/>
                <w:szCs w:val="17"/>
              </w:rPr>
              <w:t>PERFORMANCE SPREAD</w:t>
            </w:r>
          </w:p>
        </w:tc>
        <w:tc>
          <w:tcPr>
            <w:tcW w:type="dxa" w:w="2494"/>
          </w:tcPr>
          <w:p>
            <w:pPr>
              <w:spacing w:before="0" w:after="0" w:line="264" w:lineRule="auto"/>
            </w:pPr>
            <w:r>
              <w:rPr>
                <w:rFonts w:ascii="Arial" w:hAnsi="Arial" w:cs="Arial" w:eastAsia="Arial"/>
                <w:color w:val="0E1E3A"/>
                <w:sz w:val="17"/>
                <w:szCs w:val="17"/>
              </w:rPr>
              <w:t>0.96%</w:t>
            </w:r>
          </w:p>
        </w:tc>
        <w:tc>
          <w:tcPr>
            <w:tcW w:type="dxa" w:w="2494"/>
          </w:tcPr>
          <w:p>
            <w:pPr>
              <w:spacing w:before="0" w:after="0" w:line="264" w:lineRule="auto"/>
            </w:pPr>
            <w:r>
              <w:rPr>
                <w:rFonts w:ascii="Arial" w:hAnsi="Arial" w:cs="Arial" w:eastAsia="Arial"/>
                <w:color w:val="0E1E3A"/>
                <w:sz w:val="17"/>
                <w:szCs w:val="17"/>
              </w:rPr>
              <w:t>0.96%</w:t>
            </w:r>
          </w:p>
        </w:tc>
        <w:tc>
          <w:tcPr>
            <w:tcW w:type="dxa" w:w="2494"/>
          </w:tcPr>
          <w:p>
            <w:pPr>
              <w:spacing w:before="0" w:after="0" w:line="264" w:lineRule="auto"/>
            </w:pPr>
            <w:r>
              <w:rPr>
                <w:rFonts w:ascii="Arial" w:hAnsi="Arial" w:cs="Arial" w:eastAsia="Arial"/>
                <w:color w:val="0E1E3A"/>
                <w:sz w:val="17"/>
                <w:szCs w:val="17"/>
              </w:rPr>
              <w:t>2.13%</w:t>
            </w:r>
          </w:p>
        </w:tc>
      </w:tr>
    </w:tbl>
    <w:p>
      <w:pPr>
        <w:spacing w:before="0" w:after="40" w:line="300" w:lineRule="auto"/>
      </w:pPr>
    </w:p>
    <w:p>
      <w:pPr>
        <w:spacing w:before="0" w:after="80" w:line="312" w:lineRule="auto"/>
      </w:pPr>
      <w:r>
        <w:rPr>
          <w:rFonts w:ascii="Arial" w:hAnsi="Arial" w:cs="Arial" w:eastAsia="Arial"/>
          <w:color w:val="5A6478"/>
          <w:sz w:val="17"/>
          <w:szCs w:val="17"/>
        </w:rPr>
        <w:t>*As at the Listing Date, 27 April 2022</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55"/>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2494"/>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2494"/>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2494"/>
            <w:shd w:val="clear" w:color="auto" w:fill="12284B"/>
          </w:tcPr>
          <w:p>
            <w:pPr>
              <w:spacing w:before="0" w:after="0" w:line="264" w:lineRule="auto"/>
            </w:pPr>
            <w:r>
              <w:rPr>
                <w:rFonts w:ascii="Arial" w:hAnsi="Arial" w:cs="Arial" w:eastAsia="Arial"/>
                <w:b/>
                <w:bCs/>
                <w:color w:val="FFFFFF"/>
                <w:sz w:val="17"/>
                <w:szCs w:val="17"/>
              </w:rPr>
              <w:t>ONE YEAR*</w:t>
            </w:r>
          </w:p>
        </w:tc>
      </w:tr>
      <w:tr>
        <w:tc>
          <w:tcPr>
            <w:tcW w:type="dxa" w:w="2494"/>
          </w:tcPr>
          <w:p>
            <w:pPr>
              <w:spacing w:before="0" w:after="0" w:line="264" w:lineRule="auto"/>
            </w:pPr>
            <w:r>
              <w:rPr>
                <w:rFonts w:ascii="Arial" w:hAnsi="Arial" w:cs="Arial" w:eastAsia="Arial"/>
                <w:color w:val="0E1E3A"/>
                <w:sz w:val="17"/>
                <w:szCs w:val="17"/>
              </w:rPr>
              <w:t>STANDARD DEVIATION1</w:t>
            </w:r>
          </w:p>
        </w:tc>
        <w:tc>
          <w:tcPr>
            <w:tcW w:type="dxa" w:w="2494"/>
          </w:tcPr>
          <w:p>
            <w:pPr>
              <w:spacing w:before="0" w:after="0" w:line="264" w:lineRule="auto"/>
            </w:pPr>
            <w:r>
              <w:rPr>
                <w:rFonts w:ascii="Arial" w:hAnsi="Arial" w:cs="Arial" w:eastAsia="Arial"/>
                <w:color w:val="0E1E3A"/>
                <w:sz w:val="17"/>
                <w:szCs w:val="17"/>
              </w:rPr>
              <w:t>6.34</w:t>
            </w:r>
          </w:p>
        </w:tc>
        <w:tc>
          <w:tcPr>
            <w:tcW w:type="dxa" w:w="2494"/>
          </w:tcPr>
          <w:p>
            <w:pPr>
              <w:spacing w:before="0" w:after="0" w:line="264" w:lineRule="auto"/>
            </w:pPr>
            <w:r>
              <w:rPr>
                <w:rFonts w:ascii="Arial" w:hAnsi="Arial" w:cs="Arial" w:eastAsia="Arial"/>
                <w:color w:val="0E1E3A"/>
                <w:sz w:val="17"/>
                <w:szCs w:val="17"/>
              </w:rPr>
              <w:t>6.34</w:t>
            </w:r>
          </w:p>
        </w:tc>
        <w:tc>
          <w:tcPr>
            <w:tcW w:type="dxa" w:w="2494"/>
          </w:tcPr>
          <w:p>
            <w:pPr>
              <w:spacing w:before="0" w:after="0" w:line="264" w:lineRule="auto"/>
            </w:pPr>
            <w:r>
              <w:rPr>
                <w:rFonts w:ascii="Arial" w:hAnsi="Arial" w:cs="Arial" w:eastAsia="Arial"/>
                <w:color w:val="0E1E3A"/>
                <w:sz w:val="17"/>
                <w:szCs w:val="17"/>
              </w:rPr>
              <w:t>16.40</w:t>
            </w:r>
          </w:p>
        </w:tc>
      </w:tr>
      <w:tr>
        <w:tc>
          <w:tcPr>
            <w:tcW w:type="dxa" w:w="2494"/>
          </w:tcPr>
          <w:p>
            <w:pPr>
              <w:spacing w:before="0" w:after="0" w:line="264" w:lineRule="auto"/>
            </w:pPr>
            <w:r>
              <w:rPr>
                <w:rFonts w:ascii="Arial" w:hAnsi="Arial" w:cs="Arial" w:eastAsia="Arial"/>
                <w:color w:val="0E1E3A"/>
                <w:sz w:val="17"/>
                <w:szCs w:val="17"/>
              </w:rPr>
              <w:t>SHARPE RATIO2</w:t>
            </w:r>
          </w:p>
        </w:tc>
        <w:tc>
          <w:tcPr>
            <w:tcW w:type="dxa" w:w="2494"/>
          </w:tcPr>
          <w:p>
            <w:pPr>
              <w:spacing w:before="0" w:after="0" w:line="264" w:lineRule="auto"/>
            </w:pPr>
            <w:r>
              <w:rPr>
                <w:rFonts w:ascii="Arial" w:hAnsi="Arial" w:cs="Arial" w:eastAsia="Arial"/>
                <w:color w:val="0E1E3A"/>
                <w:sz w:val="17"/>
                <w:szCs w:val="17"/>
              </w:rPr>
              <w:t>0.63</w:t>
            </w:r>
          </w:p>
        </w:tc>
        <w:tc>
          <w:tcPr>
            <w:tcW w:type="dxa" w:w="2494"/>
          </w:tcPr>
          <w:p>
            <w:pPr>
              <w:spacing w:before="0" w:after="0" w:line="264" w:lineRule="auto"/>
            </w:pPr>
            <w:r>
              <w:rPr>
                <w:rFonts w:ascii="Arial" w:hAnsi="Arial" w:cs="Arial" w:eastAsia="Arial"/>
                <w:color w:val="0E1E3A"/>
                <w:sz w:val="17"/>
                <w:szCs w:val="17"/>
              </w:rPr>
              <w:t>0.63</w:t>
            </w:r>
          </w:p>
        </w:tc>
        <w:tc>
          <w:tcPr>
            <w:tcW w:type="dxa" w:w="2494"/>
          </w:tcPr>
          <w:p>
            <w:pPr>
              <w:spacing w:before="0" w:after="0" w:line="264" w:lineRule="auto"/>
            </w:pPr>
            <w:r>
              <w:rPr>
                <w:rFonts w:ascii="Arial" w:hAnsi="Arial" w:cs="Arial" w:eastAsia="Arial"/>
                <w:color w:val="0E1E3A"/>
                <w:sz w:val="17"/>
                <w:szCs w:val="17"/>
              </w:rPr>
              <w:t>0.01</w:t>
            </w:r>
          </w:p>
        </w:tc>
      </w:tr>
      <w:tr>
        <w:tc>
          <w:tcPr>
            <w:tcW w:type="dxa" w:w="2494"/>
          </w:tcPr>
          <w:p>
            <w:pPr>
              <w:spacing w:before="0" w:after="0" w:line="264" w:lineRule="auto"/>
            </w:pPr>
            <w:r>
              <w:rPr>
                <w:rFonts w:ascii="Arial" w:hAnsi="Arial" w:cs="Arial" w:eastAsia="Arial"/>
                <w:color w:val="0E1E3A"/>
                <w:sz w:val="17"/>
                <w:szCs w:val="17"/>
              </w:rPr>
              <w:t>TRACKING ERROR3</w:t>
            </w:r>
          </w:p>
        </w:tc>
        <w:tc>
          <w:tcPr>
            <w:tcW w:type="dxa" w:w="2494"/>
          </w:tcPr>
          <w:p>
            <w:pPr>
              <w:spacing w:before="0" w:after="0" w:line="264" w:lineRule="auto"/>
            </w:pPr>
            <w:r>
              <w:rPr>
                <w:rFonts w:ascii="Arial" w:hAnsi="Arial" w:cs="Arial" w:eastAsia="Arial"/>
                <w:color w:val="0E1E3A"/>
                <w:sz w:val="17"/>
                <w:szCs w:val="17"/>
              </w:rPr>
              <w:t>4.98</w:t>
            </w:r>
          </w:p>
        </w:tc>
        <w:tc>
          <w:tcPr>
            <w:tcW w:type="dxa" w:w="2494"/>
          </w:tcPr>
          <w:p>
            <w:pPr>
              <w:spacing w:before="0" w:after="0" w:line="264" w:lineRule="auto"/>
            </w:pPr>
            <w:r>
              <w:rPr>
                <w:rFonts w:ascii="Arial" w:hAnsi="Arial" w:cs="Arial" w:eastAsia="Arial"/>
                <w:color w:val="0E1E3A"/>
                <w:sz w:val="17"/>
                <w:szCs w:val="17"/>
              </w:rPr>
              <w:t>4.98</w:t>
            </w:r>
          </w:p>
        </w:tc>
        <w:tc>
          <w:tcPr>
            <w:tcW w:type="dxa" w:w="2494"/>
          </w:tcPr>
          <w:p>
            <w:pPr>
              <w:spacing w:before="0" w:after="0" w:line="264" w:lineRule="auto"/>
            </w:pPr>
            <w:r>
              <w:rPr>
                <w:rFonts w:ascii="Arial" w:hAnsi="Arial" w:cs="Arial" w:eastAsia="Arial"/>
                <w:color w:val="0E1E3A"/>
                <w:sz w:val="17"/>
                <w:szCs w:val="17"/>
              </w:rPr>
              <w:t>15.69</w:t>
            </w:r>
          </w:p>
        </w:tc>
      </w:tr>
      <w:tr>
        <w:tc>
          <w:tcPr>
            <w:tcW w:type="dxa" w:w="2494"/>
          </w:tcPr>
          <w:p>
            <w:pPr>
              <w:spacing w:before="0" w:after="0" w:line="264" w:lineRule="auto"/>
            </w:pPr>
            <w:r>
              <w:rPr>
                <w:rFonts w:ascii="Arial" w:hAnsi="Arial" w:cs="Arial" w:eastAsia="Arial"/>
                <w:color w:val="0E1E3A"/>
                <w:sz w:val="17"/>
                <w:szCs w:val="17"/>
              </w:rPr>
              <w:t>BETA4</w:t>
            </w:r>
          </w:p>
        </w:tc>
        <w:tc>
          <w:tcPr>
            <w:tcW w:type="dxa" w:w="2494"/>
          </w:tcPr>
          <w:p>
            <w:pPr>
              <w:spacing w:before="0" w:after="0" w:line="264" w:lineRule="auto"/>
            </w:pPr>
            <w:r>
              <w:rPr>
                <w:rFonts w:ascii="Arial" w:hAnsi="Arial" w:cs="Arial" w:eastAsia="Arial"/>
                <w:color w:val="0E1E3A"/>
                <w:sz w:val="17"/>
                <w:szCs w:val="17"/>
              </w:rPr>
              <w:t>0.66</w:t>
            </w:r>
          </w:p>
        </w:tc>
        <w:tc>
          <w:tcPr>
            <w:tcW w:type="dxa" w:w="2494"/>
          </w:tcPr>
          <w:p>
            <w:pPr>
              <w:spacing w:before="0" w:after="0" w:line="264" w:lineRule="auto"/>
            </w:pPr>
            <w:r>
              <w:rPr>
                <w:rFonts w:ascii="Arial" w:hAnsi="Arial" w:cs="Arial" w:eastAsia="Arial"/>
                <w:color w:val="0E1E3A"/>
                <w:sz w:val="17"/>
                <w:szCs w:val="17"/>
              </w:rPr>
              <w:t>0.66</w:t>
            </w:r>
          </w:p>
        </w:tc>
        <w:tc>
          <w:tcPr>
            <w:tcW w:type="dxa" w:w="2494"/>
          </w:tcPr>
          <w:p>
            <w:pPr>
              <w:spacing w:before="0" w:after="0" w:line="264" w:lineRule="auto"/>
            </w:pPr>
            <w:r>
              <w:rPr>
                <w:rFonts w:ascii="Arial" w:hAnsi="Arial" w:cs="Arial" w:eastAsia="Arial"/>
                <w:color w:val="0E1E3A"/>
                <w:sz w:val="17"/>
                <w:szCs w:val="17"/>
              </w:rPr>
              <w:t>0.53</w:t>
            </w:r>
          </w:p>
        </w:tc>
      </w:tr>
      <w:tr>
        <w:tc>
          <w:tcPr>
            <w:tcW w:type="dxa" w:w="2494"/>
          </w:tcPr>
          <w:p>
            <w:pPr>
              <w:spacing w:before="0" w:after="0" w:line="264" w:lineRule="auto"/>
            </w:pPr>
            <w:r>
              <w:rPr>
                <w:rFonts w:ascii="Arial" w:hAnsi="Arial" w:cs="Arial" w:eastAsia="Arial"/>
                <w:color w:val="0E1E3A"/>
                <w:sz w:val="17"/>
                <w:szCs w:val="17"/>
              </w:rPr>
              <w:t>ALPHA5</w:t>
            </w:r>
          </w:p>
        </w:tc>
        <w:tc>
          <w:tcPr>
            <w:tcW w:type="dxa" w:w="2494"/>
          </w:tcPr>
          <w:p>
            <w:pPr>
              <w:spacing w:before="0" w:after="0" w:line="264" w:lineRule="auto"/>
            </w:pPr>
            <w:r>
              <w:rPr>
                <w:rFonts w:ascii="Arial" w:hAnsi="Arial" w:cs="Arial" w:eastAsia="Arial"/>
                <w:color w:val="0E1E3A"/>
                <w:sz w:val="17"/>
                <w:szCs w:val="17"/>
              </w:rPr>
              <w:t>0.85</w:t>
            </w:r>
          </w:p>
        </w:tc>
        <w:tc>
          <w:tcPr>
            <w:tcW w:type="dxa" w:w="2494"/>
          </w:tcPr>
          <w:p>
            <w:pPr>
              <w:spacing w:before="0" w:after="0" w:line="264" w:lineRule="auto"/>
            </w:pPr>
            <w:r>
              <w:rPr>
                <w:rFonts w:ascii="Arial" w:hAnsi="Arial" w:cs="Arial" w:eastAsia="Arial"/>
                <w:color w:val="0E1E3A"/>
                <w:sz w:val="17"/>
                <w:szCs w:val="17"/>
              </w:rPr>
              <w:t>0.85</w:t>
            </w:r>
          </w:p>
        </w:tc>
        <w:tc>
          <w:tcPr>
            <w:tcW w:type="dxa" w:w="2494"/>
          </w:tcPr>
          <w:p>
            <w:pPr>
              <w:spacing w:before="0" w:after="0" w:line="264" w:lineRule="auto"/>
            </w:pPr>
            <w:r>
              <w:rPr>
                <w:rFonts w:ascii="Arial" w:hAnsi="Arial" w:cs="Arial" w:eastAsia="Arial"/>
                <w:color w:val="0E1E3A"/>
                <w:sz w:val="17"/>
                <w:szCs w:val="17"/>
              </w:rPr>
              <w:t>1.57</w:t>
            </w:r>
          </w:p>
        </w:tc>
      </w:tr>
      <w:tr>
        <w:tc>
          <w:tcPr>
            <w:tcW w:type="dxa" w:w="2494"/>
          </w:tcPr>
          <w:p>
            <w:pPr>
              <w:spacing w:before="0" w:after="0" w:line="264" w:lineRule="auto"/>
            </w:pPr>
            <w:r>
              <w:rPr>
                <w:rFonts w:ascii="Arial" w:hAnsi="Arial" w:cs="Arial" w:eastAsia="Arial"/>
                <w:color w:val="0E1E3A"/>
                <w:sz w:val="17"/>
                <w:szCs w:val="17"/>
              </w:rPr>
              <w:t>INFORMATION RATIO6</w:t>
            </w:r>
          </w:p>
        </w:tc>
        <w:tc>
          <w:tcPr>
            <w:tcW w:type="dxa" w:w="2494"/>
          </w:tcPr>
          <w:p>
            <w:pPr>
              <w:spacing w:before="0" w:after="0" w:line="264" w:lineRule="auto"/>
            </w:pPr>
            <w:r>
              <w:rPr>
                <w:rFonts w:ascii="Arial" w:hAnsi="Arial" w:cs="Arial" w:eastAsia="Arial"/>
                <w:color w:val="0E1E3A"/>
                <w:sz w:val="17"/>
                <w:szCs w:val="17"/>
              </w:rPr>
              <w:t>0.17</w:t>
            </w:r>
          </w:p>
        </w:tc>
        <w:tc>
          <w:tcPr>
            <w:tcW w:type="dxa" w:w="2494"/>
          </w:tcPr>
          <w:p>
            <w:pPr>
              <w:spacing w:before="0" w:after="0" w:line="264" w:lineRule="auto"/>
            </w:pPr>
            <w:r>
              <w:rPr>
                <w:rFonts w:ascii="Arial" w:hAnsi="Arial" w:cs="Arial" w:eastAsia="Arial"/>
                <w:color w:val="0E1E3A"/>
                <w:sz w:val="17"/>
                <w:szCs w:val="17"/>
              </w:rPr>
              <w:t>0.17</w:t>
            </w:r>
          </w:p>
        </w:tc>
        <w:tc>
          <w:tcPr>
            <w:tcW w:type="dxa" w:w="2494"/>
          </w:tcPr>
          <w:p>
            <w:pPr>
              <w:spacing w:before="0" w:after="0" w:line="264" w:lineRule="auto"/>
            </w:pPr>
            <w:r>
              <w:rPr>
                <w:rFonts w:ascii="Arial" w:hAnsi="Arial" w:cs="Arial" w:eastAsia="Arial"/>
                <w:color w:val="0E1E3A"/>
                <w:sz w:val="17"/>
                <w:szCs w:val="17"/>
              </w:rPr>
              <w:t>0.10</w:t>
            </w:r>
          </w:p>
        </w:tc>
      </w:tr>
    </w:tbl>
    <w:p>
      <w:pPr>
        <w:spacing w:before="0" w:after="40" w:line="300" w:lineRule="auto"/>
      </w:pPr>
    </w:p>
    <w:p>
      <w:pPr>
        <w:spacing w:before="0" w:after="80" w:line="312" w:lineRule="auto"/>
      </w:pPr>
      <w:r>
        <w:rPr>
          <w:rFonts w:ascii="Arial" w:hAnsi="Arial" w:cs="Arial" w:eastAsia="Arial"/>
          <w:color w:val="5A6478"/>
          <w:sz w:val="17"/>
          <w:szCs w:val="17"/>
        </w:rPr>
        <w:t>1.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2. Sharpe Ratio is a risk-adjusted performance measure. It is calculated as the difference of the Fund Manager excess return over the risk-free rate, divided by the Standard Deviation. The greater a portfolio's Sharpe Ratio, the better its risk-adjusted performance.</w:t>
      </w:r>
      <w:r>
        <w:br/>
      </w:r>
      <w:r>
        <w:rPr>
          <w:rFonts w:ascii="Arial" w:hAnsi="Arial" w:cs="Arial" w:eastAsia="Arial"/>
          <w:color w:val="5A6478"/>
          <w:sz w:val="17"/>
          <w:szCs w:val="17"/>
        </w:rPr>
        <w:t>3. Tracking Error is a measure of risks. It is calculated as the Standard Deviation between the Fund Manager's return and the Benchmark's return. The lower the Tracking Error, the lower the Fund Manager deviates from the Benchmark.</w:t>
      </w:r>
      <w:r>
        <w:br/>
      </w:r>
      <w:r>
        <w:rPr>
          <w:rFonts w:ascii="Arial" w:hAnsi="Arial" w:cs="Arial" w:eastAsia="Arial"/>
          <w:color w:val="5A6478"/>
          <w:sz w:val="17"/>
          <w:szCs w:val="17"/>
        </w:rPr>
        <w:t>4.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5. Alpha measures any excess return achieved by the Fund compared to the performance of the index.</w:t>
      </w:r>
      <w:r>
        <w:br/>
      </w:r>
      <w:r>
        <w:rPr>
          <w:rFonts w:ascii="Arial" w:hAnsi="Arial" w:cs="Arial" w:eastAsia="Arial"/>
          <w:color w:val="5A6478"/>
          <w:sz w:val="17"/>
          <w:szCs w:val="17"/>
        </w:rPr>
        <w:t>6. Information Ratio is a risk-adjusted performance measure. It is calculated as the active return of the Fund Manager, divided by its tracking error. The higher the Information ratio, the higher the Fund Manager ability to generate excess returns per Unit of excess risk.</w:t>
      </w:r>
      <w:r>
        <w:br/>
      </w:r>
      <w:r>
        <w:rPr>
          <w:rFonts w:ascii="Arial" w:hAnsi="Arial" w:cs="Arial" w:eastAsia="Arial"/>
          <w:color w:val="5A6478"/>
          <w:sz w:val="17"/>
          <w:szCs w:val="17"/>
        </w:rPr>
        <w:t>The performance and risk parameters were calculated based on the Unit's net value.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56"/>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57"/>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GLOBAL MARKETS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During Q1 2023, global equity markets surprised positively driven mainly by a rebound in the US and European composite supported by improved business sentiment, low oil prices, and most importantly China's reopening.</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IMF expects the global economy to grow by 2.9%, with developed economies growing by 1.2% and emerging markets by 4.0% in 2023. Global equity markets are pricing in a soft landing for the global economy and recession fears are receding with inflation trending down and the reopening of the Chinese economy.</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58"/>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NET UNIT VALUE PERFORMANCE COMPARED TO THE BENCHMARK SINCE THE INCEPTION OF THE FUND</w:t>
      </w:r>
    </w:p>
    <w:p>
      <w:pPr>
        <w:spacing w:before="0" w:after="80" w:line="240" w:lineRule="auto"/>
        <w:jc w:val="center"/>
      </w:pPr>
      <w:r>
        <w:drawing>
          <wp:inline xmlns:a="http://schemas.openxmlformats.org/drawingml/2006/main" xmlns:pic="http://schemas.openxmlformats.org/drawingml/2006/picture">
            <wp:extent cx="6336000" cy="3072864"/>
            <wp:docPr id="28" name="Picture 9059"/>
            <wp:cNvGraphicFramePr>
              <a:graphicFrameLocks noChangeAspect="1"/>
            </wp:cNvGraphicFramePr>
            <a:graphic>
              <a:graphicData uri="http://schemas.openxmlformats.org/drawingml/2006/picture">
                <pic:pic>
                  <pic:nvPicPr>
                    <pic:cNvPr id="0" name="x7.j.jpg"/>
                    <pic:cNvPicPr/>
                  </pic:nvPicPr>
                  <pic:blipFill>
                    <a:blip r:embed="rId24"/>
                    <a:stretch>
                      <a:fillRect/>
                    </a:stretch>
                  </pic:blipFill>
                  <pic:spPr>
                    <a:xfrm>
                      <a:off x="0" y="0"/>
                      <a:ext cx="6336000" cy="3072864"/>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9" name="Picture 9060"/>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0" name="Picture 9061"/>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Growth &amp; Income Fund — Quarterly Statement Q1 2023</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