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4"/>
            <wp:cNvGraphicFramePr/>
            <a:graphic>
              <a:graphicData uri="http://schemas.openxmlformats.org/drawingml/2006/picture">
                <pic:pic>
                  <pic:nvPicPr>
                    <pic:cNvPr id="9034" name="banner903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العربية السعودية،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 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11.7473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843,609,574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عند التأسيس</w:t>
            </w:r>
          </w:p>
        </w:tc>
        <w:tc>
          <w:tcPr>
            <w:tcW w:type="dxa" w:w="6860"/>
          </w:tcPr>
          <w:p>
            <w:pPr>
              <w:bidi w:val="1"/>
              <w:spacing w:before="0" w:after="0" w:line="276" w:lineRule="auto"/>
            </w:pPr>
            <w:r>
              <w:rPr>
                <w:rFonts w:ascii="Arial" w:hAnsi="Arial" w:cs="Arial" w:eastAsia="Arial"/>
                <w:b/>
                <w:bCs/>
                <w:color w:val="0E1E3A"/>
                <w:sz w:val="18"/>
                <w:szCs w:val="18"/>
                <w:rtl/>
              </w:rPr>
              <w:t>1 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الاقتراض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91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2024م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8"/>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843,609,574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841,302,365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للربع المعني</w:t>
            </w:r>
          </w:p>
        </w:tc>
        <w:tc>
          <w:tcPr>
            <w:tcW w:type="dxa" w:w="6860"/>
          </w:tcPr>
          <w:p>
            <w:pPr>
              <w:bidi w:val="1"/>
              <w:spacing w:before="0" w:after="0" w:line="276" w:lineRule="auto"/>
            </w:pPr>
            <w:r>
              <w:rPr>
                <w:rFonts w:ascii="Arial" w:hAnsi="Arial" w:cs="Arial" w:eastAsia="Arial"/>
                <w:b/>
                <w:bCs/>
                <w:color w:val="0E1E3A"/>
                <w:sz w:val="18"/>
                <w:szCs w:val="18"/>
                <w:rtl/>
              </w:rPr>
              <w:t>322,317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‎0.040%‎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‎0.29%‎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‎0.29%‎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2,450,395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2024م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خلال الربع المعني = 814,306,229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978811"/>
            <wp:docPr id="8" name="Picture 9041"/>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شركات في الأسهم العالمية والمحلية المدرجة</w:t>
      </w:r>
    </w:p>
    <w:p>
      <w:pPr>
        <w:bidi w:val="1"/>
        <w:spacing w:before="0" w:after="80" w:line="240" w:lineRule="auto"/>
        <w:jc w:val="center"/>
      </w:pPr>
      <w:r>
        <w:drawing>
          <wp:inline xmlns:a="http://schemas.openxmlformats.org/drawingml/2006/main" xmlns:pic="http://schemas.openxmlformats.org/drawingml/2006/picture">
            <wp:extent cx="6336000" cy="3015784"/>
            <wp:docPr id="10" name="Picture 9043"/>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1578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قطاعات الشركات التي يستثمر فيها الصندوق</w:t>
      </w:r>
    </w:p>
    <w:p>
      <w:pPr>
        <w:bidi w:val="1"/>
        <w:spacing w:before="0" w:after="80" w:line="240" w:lineRule="auto"/>
        <w:jc w:val="center"/>
      </w:pPr>
      <w:r>
        <w:drawing>
          <wp:inline xmlns:a="http://schemas.openxmlformats.org/drawingml/2006/main" xmlns:pic="http://schemas.openxmlformats.org/drawingml/2006/picture">
            <wp:extent cx="6336000" cy="3025297"/>
            <wp:docPr id="12" name="Picture 9045"/>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25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794,901,207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46,401,158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5" name="Picture 9048"/>
            <wp:cNvGraphicFramePr>
              <a:graphicFrameLocks noChangeAspect="1"/>
            </wp:cNvGraphicFramePr>
            <a:graphic>
              <a:graphicData uri="http://schemas.openxmlformats.org/drawingml/2006/picture">
                <pic:pic>
                  <pic:nvPicPr>
                    <pic:cNvPr id="0" name="x6.j.jpg"/>
                    <pic:cNvPicPr/>
                  </pic:nvPicPr>
                  <pic:blipFill>
                    <a:blip r:embed="rId20"/>
                    <a:stretch>
                      <a:fillRect/>
                    </a:stretch>
                  </pic:blipFill>
                  <pic:spPr>
                    <a:xfrm>
                      <a:off x="0" y="0"/>
                      <a:ext cx="6336000" cy="3091892"/>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 (27 أبريل 2022م)</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ديسمبر 2022م</w:t>
            </w:r>
          </w:p>
        </w:tc>
        <w:tc>
          <w:tcPr>
            <w:tcW w:type="dxa" w:w="6860"/>
          </w:tcPr>
          <w:p>
            <w:pPr>
              <w:bidi w:val="1"/>
              <w:spacing w:before="0" w:after="0" w:line="276" w:lineRule="auto"/>
            </w:pPr>
            <w:r>
              <w:rPr>
                <w:rFonts w:ascii="Arial" w:hAnsi="Arial" w:cs="Arial" w:eastAsia="Arial"/>
                <w:b/>
                <w:bCs/>
                <w:color w:val="0E1E3A"/>
                <w:sz w:val="18"/>
                <w:szCs w:val="18"/>
                <w:rtl/>
              </w:rPr>
              <w:t>569,000,000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مارس 2023م</w:t>
            </w:r>
          </w:p>
        </w:tc>
        <w:tc>
          <w:tcPr>
            <w:tcW w:type="dxa" w:w="6860"/>
          </w:tcPr>
          <w:p>
            <w:pPr>
              <w:bidi w:val="1"/>
              <w:spacing w:before="0" w:after="0" w:line="276" w:lineRule="auto"/>
            </w:pPr>
            <w:r>
              <w:rPr>
                <w:rFonts w:ascii="Arial" w:hAnsi="Arial" w:cs="Arial" w:eastAsia="Arial"/>
                <w:b/>
                <w:bCs/>
                <w:color w:val="0E1E3A"/>
                <w:sz w:val="18"/>
                <w:szCs w:val="18"/>
                <w:rtl/>
              </w:rPr>
              <w:t>597,000,000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22 يونيو 2023م</w:t>
            </w:r>
          </w:p>
        </w:tc>
        <w:tc>
          <w:tcPr>
            <w:tcW w:type="dxa" w:w="6860"/>
          </w:tcPr>
          <w:p>
            <w:pPr>
              <w:bidi w:val="1"/>
              <w:spacing w:before="0" w:after="0" w:line="276" w:lineRule="auto"/>
            </w:pPr>
            <w:r>
              <w:rPr>
                <w:rFonts w:ascii="Arial" w:hAnsi="Arial" w:cs="Arial" w:eastAsia="Arial"/>
                <w:b/>
                <w:bCs/>
                <w:color w:val="0E1E3A"/>
                <w:sz w:val="18"/>
                <w:szCs w:val="18"/>
                <w:rtl/>
              </w:rPr>
              <w:t>811,000,000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28 سبتمبر 2023م *</w:t>
            </w:r>
          </w:p>
        </w:tc>
        <w:tc>
          <w:tcPr>
            <w:tcW w:type="dxa" w:w="6860"/>
          </w:tcPr>
          <w:p>
            <w:pPr>
              <w:bidi w:val="1"/>
              <w:spacing w:before="0" w:after="0" w:line="276" w:lineRule="auto"/>
            </w:pPr>
            <w:r>
              <w:rPr>
                <w:rFonts w:ascii="Arial" w:hAnsi="Arial" w:cs="Arial" w:eastAsia="Arial"/>
                <w:b/>
                <w:bCs/>
                <w:color w:val="0E1E3A"/>
                <w:sz w:val="18"/>
                <w:szCs w:val="18"/>
                <w:rtl/>
              </w:rPr>
              <w:t>654,189,890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ديسمبر 2023م **</w:t>
            </w:r>
          </w:p>
        </w:tc>
        <w:tc>
          <w:tcPr>
            <w:tcW w:type="dxa" w:w="6860"/>
          </w:tcPr>
          <w:p>
            <w:pPr>
              <w:bidi w:val="1"/>
              <w:spacing w:before="0" w:after="0" w:line="276" w:lineRule="auto"/>
            </w:pPr>
            <w:r>
              <w:rPr>
                <w:rFonts w:ascii="Arial" w:hAnsi="Arial" w:cs="Arial" w:eastAsia="Arial"/>
                <w:b/>
                <w:bCs/>
                <w:color w:val="0E1E3A"/>
                <w:sz w:val="18"/>
                <w:szCs w:val="18"/>
                <w:rtl/>
              </w:rPr>
              <w:t>633,808,698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مارس 2024م ***</w:t>
            </w:r>
          </w:p>
        </w:tc>
        <w:tc>
          <w:tcPr>
            <w:tcW w:type="dxa" w:w="6860"/>
          </w:tcPr>
          <w:p>
            <w:pPr>
              <w:bidi w:val="1"/>
              <w:spacing w:before="0" w:after="0" w:line="276" w:lineRule="auto"/>
            </w:pPr>
            <w:r>
              <w:rPr>
                <w:rFonts w:ascii="Arial" w:hAnsi="Arial" w:cs="Arial" w:eastAsia="Arial"/>
                <w:b/>
                <w:bCs/>
                <w:color w:val="0E1E3A"/>
                <w:sz w:val="18"/>
                <w:szCs w:val="18"/>
                <w:rtl/>
              </w:rPr>
              <w:t>642,402,714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غير متضمنة الوحدات المعاد شراؤها من قبل الصندوق بغرض إلغائها، بعدد 24,371,111 وحدة، كما في 28 سبتمبر 2023م.</w:t>
      </w:r>
      <w:r>
        <w:br/>
      </w:r>
      <w:r>
        <w:rPr>
          <w:rFonts w:ascii="Arial" w:hAnsi="Arial" w:cs="Arial" w:eastAsia="Arial"/>
          <w:color w:val="5A6478"/>
          <w:sz w:val="17"/>
          <w:szCs w:val="17"/>
          <w:rtl/>
        </w:rPr>
        <w:t>** غير متضمنة الوحدات المعاد شرائها من قبل الصندوق بغرض إلغائها، بعدد (28,383,198 وحدة) كما في 31 ديسمبر 2023م.</w:t>
      </w:r>
      <w:r>
        <w:br/>
      </w:r>
      <w:r>
        <w:rPr>
          <w:rFonts w:ascii="Arial" w:hAnsi="Arial" w:cs="Arial" w:eastAsia="Arial"/>
          <w:color w:val="5A6478"/>
          <w:sz w:val="17"/>
          <w:szCs w:val="17"/>
          <w:rtl/>
        </w:rPr>
        <w:t>*** غير متضمنة الوحدات المعاد شرائها من قبل الصندوق بغرض إلغائها، بعدد (28,383,198 وحدة) كما في 31 مارس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الاول (31 مارس 2024م)</w:t>
            </w:r>
          </w:p>
        </w:tc>
        <w:tc>
          <w:tcPr>
            <w:tcW w:type="dxa" w:w="6860"/>
          </w:tcPr>
          <w:p>
            <w:pPr>
              <w:bidi w:val="1"/>
              <w:spacing w:before="0" w:after="0" w:line="276" w:lineRule="auto"/>
            </w:pPr>
            <w:r>
              <w:rPr>
                <w:rFonts w:ascii="Arial" w:hAnsi="Arial" w:cs="Arial" w:eastAsia="Arial"/>
                <w:b/>
                <w:bCs/>
                <w:color w:val="0E1E3A"/>
                <w:sz w:val="18"/>
                <w:szCs w:val="18"/>
                <w:rtl/>
              </w:rPr>
              <w:t>8.97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مقارنة بالربع السابق (من تاريخ 31 ديسمبر 2023م إلى 31 مارس 2024م)</w:t>
            </w:r>
          </w:p>
        </w:tc>
        <w:tc>
          <w:tcPr>
            <w:tcW w:type="dxa" w:w="6860"/>
          </w:tcPr>
          <w:p>
            <w:pPr>
              <w:bidi w:val="1"/>
              <w:spacing w:before="0" w:after="0" w:line="276" w:lineRule="auto"/>
            </w:pPr>
            <w:r>
              <w:rPr>
                <w:rFonts w:ascii="Arial" w:hAnsi="Arial" w:cs="Arial" w:eastAsia="Arial"/>
                <w:b/>
                <w:bCs/>
                <w:color w:val="0E1E3A"/>
                <w:sz w:val="18"/>
                <w:szCs w:val="18"/>
              </w:rPr>
              <w:t>‎1.36%‎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الاول 2024م)</w:t>
            </w:r>
          </w:p>
        </w:tc>
        <w:tc>
          <w:tcPr>
            <w:tcW w:type="dxa" w:w="6860"/>
          </w:tcPr>
          <w:p>
            <w:pPr>
              <w:bidi w:val="1"/>
              <w:spacing w:before="0" w:after="0" w:line="276" w:lineRule="auto"/>
            </w:pPr>
            <w:r>
              <w:rPr>
                <w:rFonts w:ascii="Arial" w:hAnsi="Arial" w:cs="Arial" w:eastAsia="Arial"/>
                <w:b/>
                <w:bCs/>
                <w:color w:val="0E1E3A"/>
                <w:sz w:val="18"/>
                <w:szCs w:val="18"/>
              </w:rPr>
              <w:t>‎-10.30%‎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لسعر الوحدة منذ تاريخ الإدراج (من تاريخ الإدراج إلى نهاية الربع الاول 2024م)</w:t>
            </w:r>
          </w:p>
        </w:tc>
        <w:tc>
          <w:tcPr>
            <w:tcW w:type="dxa" w:w="6860"/>
          </w:tcPr>
          <w:p>
            <w:pPr>
              <w:bidi w:val="1"/>
              <w:spacing w:before="0" w:after="0" w:line="276" w:lineRule="auto"/>
            </w:pPr>
            <w:r>
              <w:rPr>
                <w:rFonts w:ascii="Arial" w:hAnsi="Arial" w:cs="Arial" w:eastAsia="Arial"/>
                <w:b/>
                <w:bCs/>
                <w:color w:val="0E1E3A"/>
                <w:sz w:val="18"/>
                <w:szCs w:val="18"/>
              </w:rPr>
              <w:t>‎-1.02%‎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9.97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6.08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(كما في 31 مارس 2024م) *</w:t>
            </w:r>
          </w:p>
        </w:tc>
        <w:tc>
          <w:tcPr>
            <w:tcW w:type="dxa" w:w="6860"/>
          </w:tcPr>
          <w:p>
            <w:pPr>
              <w:bidi w:val="1"/>
              <w:spacing w:before="0" w:after="0" w:line="276" w:lineRule="auto"/>
            </w:pPr>
            <w:r>
              <w:rPr>
                <w:rFonts w:ascii="Arial" w:hAnsi="Arial" w:cs="Arial" w:eastAsia="Arial"/>
                <w:b/>
                <w:bCs/>
                <w:color w:val="0E1E3A"/>
                <w:sz w:val="18"/>
                <w:szCs w:val="18"/>
                <w:rtl/>
              </w:rPr>
              <w:t>71,616,802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بعد خصم الوحدات المعاد شراؤها من قبل الصندوق بغرض إلغائها،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1"/>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خلال الربع المعني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يستهدف مدير الصندوق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مرتين سنويا، حيث يقوم الصندوق بتوزيع العوائد خلال 40 يوم عمل من تاريخ إصدار القوائم المالية نصف السنوية والسنوية. ويحق لمدير الصندوق وفق ما يقرره مناسبا، 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 مالية المحققة وغير المحققة مرتين سنويا، حيث يقوم الصندوق بتوزيع الأرباح الرأس مالية (إن وجدت) المحققة وغير المحققة خلال (40) يوم عمل من تاريخ إصدار القوائم المالية نصف السنوية والسنوية، وسيتم الإعلان عن التوزيعات (إن وجدت) خلال عشرة أيام عمل من تاريخ إصدار القوائم المالية نصف السنوية والسنوية، وسيتم الإعلان عن تفاصيل التوزيعات النقدية من خلال موقع سوق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79,225,591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 *</w:t>
            </w:r>
          </w:p>
        </w:tc>
        <w:tc>
          <w:tcPr>
            <w:tcW w:type="dxa" w:w="6860"/>
          </w:tcPr>
          <w:p>
            <w:pPr>
              <w:bidi w:val="1"/>
              <w:spacing w:before="0" w:after="0" w:line="276" w:lineRule="auto"/>
            </w:pPr>
            <w:r>
              <w:rPr>
                <w:rFonts w:ascii="Arial" w:hAnsi="Arial" w:cs="Arial" w:eastAsia="Arial"/>
                <w:b/>
                <w:bCs/>
                <w:color w:val="0E1E3A"/>
                <w:sz w:val="18"/>
                <w:szCs w:val="18"/>
                <w:rtl/>
              </w:rPr>
              <w:t>0.93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 السوقي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3,127,413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17,330,367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30,236,601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(22,604)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50,671,778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كما في 31 مارس 2024م</w:t>
            </w:r>
          </w:p>
        </w:tc>
        <w:tc>
          <w:tcPr>
            <w:tcW w:type="dxa" w:w="6860"/>
          </w:tcPr>
          <w:p>
            <w:pPr>
              <w:bidi w:val="1"/>
              <w:spacing w:before="0" w:after="0" w:line="276" w:lineRule="auto"/>
            </w:pPr>
            <w:r>
              <w:rPr>
                <w:rFonts w:ascii="Arial" w:hAnsi="Arial" w:cs="Arial" w:eastAsia="Arial"/>
                <w:b/>
                <w:bCs/>
                <w:color w:val="0E1E3A"/>
                <w:sz w:val="18"/>
                <w:szCs w:val="18"/>
              </w:rPr>
              <w:t>‎6.02%‎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عدد الوحدات بتاريخ استحقاق التوزيع كان 85,188,808 وحدات.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الصافي للصندوق منذ تاريخ البدء</w:t>
            </w:r>
          </w:p>
        </w:tc>
        <w:tc>
          <w:tcPr>
            <w:tcW w:type="dxa" w:w="6860"/>
          </w:tcPr>
          <w:p>
            <w:pPr>
              <w:bidi w:val="1"/>
              <w:spacing w:before="0" w:after="0" w:line="276" w:lineRule="auto"/>
            </w:pPr>
            <w:r>
              <w:rPr>
                <w:rFonts w:ascii="Arial" w:hAnsi="Arial" w:cs="Arial" w:eastAsia="Arial"/>
                <w:b/>
                <w:bCs/>
                <w:color w:val="0E1E3A"/>
                <w:sz w:val="18"/>
                <w:szCs w:val="18"/>
              </w:rPr>
              <w:t>‎28.21%‎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(لآخر 12 شهرًا)</w:t>
            </w:r>
          </w:p>
        </w:tc>
        <w:tc>
          <w:tcPr>
            <w:tcW w:type="dxa" w:w="6860"/>
          </w:tcPr>
          <w:p>
            <w:pPr>
              <w:bidi w:val="1"/>
              <w:spacing w:before="0" w:after="0" w:line="276" w:lineRule="auto"/>
            </w:pPr>
            <w:r>
              <w:rPr>
                <w:rFonts w:ascii="Arial" w:hAnsi="Arial" w:cs="Arial" w:eastAsia="Arial"/>
                <w:b/>
                <w:bCs/>
                <w:color w:val="0E1E3A"/>
                <w:sz w:val="18"/>
                <w:szCs w:val="18"/>
                <w:rtl/>
              </w:rPr>
              <w:t>21.9x</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ويشمل المؤشر 160 شركة عالمية تمثل أكبر الأسواق المالية العالمية، بالإضافة إلى أكبر عشر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ما يصل إلى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بينما تمثل شريحة الشركات متوسطة القيمة السوقية ما يتراوح بين أكثر من </w:t>
      </w:r>
      <w:r>
        <w:rPr>
          <w:rFonts w:ascii="Arial" w:hAnsi="Arial" w:cs="Arial" w:eastAsia="Arial"/>
          <w:color w:val="0E1E3A"/>
          <w:sz w:val="20"/>
          <w:szCs w:val="20"/>
        </w:rPr>
        <w:t>‎70%‎</w:t>
      </w:r>
      <w:r>
        <w:rPr>
          <w:rFonts w:ascii="Arial" w:hAnsi="Arial" w:cs="Arial" w:eastAsia="Arial"/>
          <w:color w:val="0E1E3A"/>
          <w:sz w:val="20"/>
          <w:szCs w:val="20"/>
          <w:rtl/>
        </w:rPr>
        <w:t xml:space="preserve"> وبين ما يصل إلى </w:t>
      </w:r>
      <w:r>
        <w:rPr>
          <w:rFonts w:ascii="Arial" w:hAnsi="Arial" w:cs="Arial" w:eastAsia="Arial"/>
          <w:color w:val="0E1E3A"/>
          <w:sz w:val="20"/>
          <w:szCs w:val="20"/>
        </w:rPr>
        <w:t>‎85%‎</w:t>
      </w:r>
      <w:r>
        <w:rPr>
          <w:rFonts w:ascii="Arial" w:hAnsi="Arial" w:cs="Arial" w:eastAsia="Arial"/>
          <w:color w:val="0E1E3A"/>
          <w:sz w:val="20"/>
          <w:szCs w:val="20"/>
          <w:rtl/>
        </w:rPr>
        <w:t xml:space="preserve"> من حجم قيم السوق مجتمعة، وتمثل شريحة الشركات صغيرة حجم القيمة السوقية ما يتراوح بين أكثر من </w:t>
      </w:r>
      <w:r>
        <w:rPr>
          <w:rFonts w:ascii="Arial" w:hAnsi="Arial" w:cs="Arial" w:eastAsia="Arial"/>
          <w:color w:val="0E1E3A"/>
          <w:sz w:val="20"/>
          <w:szCs w:val="20"/>
        </w:rPr>
        <w:t>‎85%‎</w:t>
      </w:r>
      <w:r>
        <w:rPr>
          <w:rFonts w:ascii="Arial" w:hAnsi="Arial" w:cs="Arial" w:eastAsia="Arial"/>
          <w:color w:val="0E1E3A"/>
          <w:sz w:val="20"/>
          <w:szCs w:val="20"/>
          <w:rtl/>
        </w:rPr>
        <w:t xml:space="preserve">، حتى ما يصل إلى </w:t>
      </w:r>
      <w:r>
        <w:rPr>
          <w:rFonts w:ascii="Arial" w:hAnsi="Arial" w:cs="Arial" w:eastAsia="Arial"/>
          <w:color w:val="0E1E3A"/>
          <w:sz w:val="20"/>
          <w:szCs w:val="20"/>
        </w:rPr>
        <w:t>‎100%‎</w:t>
      </w:r>
      <w:r>
        <w:rPr>
          <w:rFonts w:ascii="Arial" w:hAnsi="Arial" w:cs="Arial" w:eastAsia="Arial"/>
          <w:color w:val="0E1E3A"/>
          <w:sz w:val="20"/>
          <w:szCs w:val="20"/>
          <w:rtl/>
        </w:rPr>
        <w:t xml:space="preserve"> من حجم قيم السوق مجتمعة.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والدخل المتداول"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11.0740 ر.س.</w:t>
            </w:r>
          </w:p>
        </w:tc>
        <w:tc>
          <w:tcPr>
            <w:tcW w:type="dxa" w:w="3326"/>
          </w:tcPr>
          <w:p>
            <w:pPr>
              <w:bidi w:val="1"/>
              <w:spacing w:before="0" w:after="0" w:line="264" w:lineRule="auto"/>
            </w:pPr>
            <w:r>
              <w:rPr>
                <w:rFonts w:ascii="Arial" w:hAnsi="Arial" w:cs="Arial" w:eastAsia="Arial"/>
                <w:color w:val="0E1E3A"/>
                <w:sz w:val="17"/>
                <w:szCs w:val="17"/>
                <w:rtl/>
              </w:rPr>
              <w:t>107.0119</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11.7473 ر.س.</w:t>
            </w:r>
          </w:p>
        </w:tc>
        <w:tc>
          <w:tcPr>
            <w:tcW w:type="dxa" w:w="3326"/>
          </w:tcPr>
          <w:p>
            <w:pPr>
              <w:bidi w:val="1"/>
              <w:spacing w:before="0" w:after="0" w:line="264" w:lineRule="auto"/>
            </w:pPr>
            <w:r>
              <w:rPr>
                <w:rFonts w:ascii="Arial" w:hAnsi="Arial" w:cs="Arial" w:eastAsia="Arial"/>
                <w:color w:val="0E1E3A"/>
                <w:sz w:val="17"/>
                <w:szCs w:val="17"/>
                <w:rtl/>
              </w:rPr>
              <w:t>114.0263</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‎6.08%‎</w:t>
            </w:r>
          </w:p>
        </w:tc>
        <w:tc>
          <w:tcPr>
            <w:tcW w:type="dxa" w:w="3326"/>
          </w:tcPr>
          <w:p>
            <w:pPr>
              <w:bidi w:val="1"/>
              <w:spacing w:before="0" w:after="0" w:line="264" w:lineRule="auto"/>
            </w:pPr>
            <w:r>
              <w:rPr>
                <w:rFonts w:ascii="Arial" w:hAnsi="Arial" w:cs="Arial" w:eastAsia="Arial"/>
                <w:color w:val="0E1E3A"/>
                <w:sz w:val="17"/>
                <w:szCs w:val="17"/>
              </w:rPr>
              <w:t>‎6.55%‎</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‎6.08%‎</w:t>
            </w:r>
          </w:p>
        </w:tc>
        <w:tc>
          <w:tcPr>
            <w:tcW w:type="dxa" w:w="1663"/>
          </w:tcPr>
          <w:p>
            <w:pPr>
              <w:bidi w:val="1"/>
              <w:spacing w:before="0" w:after="0" w:line="264" w:lineRule="auto"/>
            </w:pPr>
            <w:r>
              <w:rPr>
                <w:rFonts w:ascii="Arial" w:hAnsi="Arial" w:cs="Arial" w:eastAsia="Arial"/>
                <w:color w:val="0E1E3A"/>
                <w:sz w:val="17"/>
                <w:szCs w:val="17"/>
              </w:rPr>
              <w:t>‎6.08%‎</w:t>
            </w:r>
          </w:p>
        </w:tc>
        <w:tc>
          <w:tcPr>
            <w:tcW w:type="dxa" w:w="1663"/>
          </w:tcPr>
          <w:p>
            <w:pPr>
              <w:bidi w:val="1"/>
              <w:spacing w:before="0" w:after="0" w:line="264" w:lineRule="auto"/>
            </w:pPr>
            <w:r>
              <w:rPr>
                <w:rFonts w:ascii="Arial" w:hAnsi="Arial" w:cs="Arial" w:eastAsia="Arial"/>
                <w:color w:val="0E1E3A"/>
                <w:sz w:val="17"/>
                <w:szCs w:val="17"/>
              </w:rPr>
              <w:t>‎23.97%‎</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‎6.55%‎</w:t>
            </w:r>
          </w:p>
        </w:tc>
        <w:tc>
          <w:tcPr>
            <w:tcW w:type="dxa" w:w="1663"/>
          </w:tcPr>
          <w:p>
            <w:pPr>
              <w:bidi w:val="1"/>
              <w:spacing w:before="0" w:after="0" w:line="264" w:lineRule="auto"/>
            </w:pPr>
            <w:r>
              <w:rPr>
                <w:rFonts w:ascii="Arial" w:hAnsi="Arial" w:cs="Arial" w:eastAsia="Arial"/>
                <w:color w:val="0E1E3A"/>
                <w:sz w:val="17"/>
                <w:szCs w:val="17"/>
              </w:rPr>
              <w:t>‎6.55%‎</w:t>
            </w:r>
          </w:p>
        </w:tc>
        <w:tc>
          <w:tcPr>
            <w:tcW w:type="dxa" w:w="1663"/>
          </w:tcPr>
          <w:p>
            <w:pPr>
              <w:bidi w:val="1"/>
              <w:spacing w:before="0" w:after="0" w:line="264" w:lineRule="auto"/>
            </w:pPr>
            <w:r>
              <w:rPr>
                <w:rFonts w:ascii="Arial" w:hAnsi="Arial" w:cs="Arial" w:eastAsia="Arial"/>
                <w:color w:val="0E1E3A"/>
                <w:sz w:val="17"/>
                <w:szCs w:val="17"/>
              </w:rPr>
              <w:t>‎18.26%‎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‎-0.47%‎</w:t>
            </w:r>
          </w:p>
        </w:tc>
        <w:tc>
          <w:tcPr>
            <w:tcW w:type="dxa" w:w="1663"/>
          </w:tcPr>
          <w:p>
            <w:pPr>
              <w:bidi w:val="1"/>
              <w:spacing w:before="0" w:after="0" w:line="264" w:lineRule="auto"/>
            </w:pPr>
            <w:r>
              <w:rPr>
                <w:rFonts w:ascii="Arial" w:hAnsi="Arial" w:cs="Arial" w:eastAsia="Arial"/>
                <w:color w:val="0E1E3A"/>
                <w:sz w:val="17"/>
                <w:szCs w:val="17"/>
              </w:rPr>
              <w:t>‎-0.47%‎</w:t>
            </w:r>
          </w:p>
        </w:tc>
        <w:tc>
          <w:tcPr>
            <w:tcW w:type="dxa" w:w="1663"/>
          </w:tcPr>
          <w:p>
            <w:pPr>
              <w:bidi w:val="1"/>
              <w:spacing w:before="0" w:after="0" w:line="264" w:lineRule="auto"/>
            </w:pPr>
            <w:r>
              <w:rPr>
                <w:rFonts w:ascii="Arial" w:hAnsi="Arial" w:cs="Arial" w:eastAsia="Arial"/>
                <w:color w:val="0E1E3A"/>
                <w:sz w:val="17"/>
                <w:szCs w:val="17"/>
              </w:rPr>
              <w:t>‎5.71%‎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سعر الوحدة بالإضافة إلى الأرباح الموزعة (إن وجدت).</w:t>
      </w:r>
      <w:r>
        <w:br/>
      </w:r>
      <w:r>
        <w:rPr>
          <w:rFonts w:ascii="Arial" w:hAnsi="Arial" w:cs="Arial" w:eastAsia="Arial"/>
          <w:color w:val="5A6478"/>
          <w:sz w:val="17"/>
          <w:szCs w:val="17"/>
          <w:rtl/>
        </w:rPr>
        <w:t>** عن الفترة من 31 ديسمبر 2023م إلى 31 مارس 2024م.</w:t>
      </w:r>
      <w:r>
        <w:br/>
      </w:r>
      <w:r>
        <w:rPr>
          <w:rFonts w:ascii="Arial" w:hAnsi="Arial" w:cs="Arial" w:eastAsia="Arial"/>
          <w:color w:val="5A6478"/>
          <w:sz w:val="17"/>
          <w:szCs w:val="17"/>
          <w:rtl/>
        </w:rPr>
        <w:t>*** عن الفترة من 31 مارس 2023م إلى 31 مارس 2024م متضمنة توزيعات نقدية بقيمة 0.93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7"/>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1</w:t>
            </w:r>
          </w:p>
        </w:tc>
        <w:tc>
          <w:tcPr>
            <w:tcW w:type="dxa" w:w="1663"/>
          </w:tcPr>
          <w:p>
            <w:pPr>
              <w:bidi w:val="1"/>
              <w:spacing w:before="0" w:after="0" w:line="264" w:lineRule="auto"/>
            </w:pPr>
            <w:r>
              <w:rPr>
                <w:rFonts w:ascii="Arial" w:hAnsi="Arial" w:cs="Arial" w:eastAsia="Arial"/>
                <w:color w:val="0E1E3A"/>
                <w:sz w:val="17"/>
                <w:szCs w:val="17"/>
                <w:rtl/>
              </w:rPr>
              <w:t>7.87</w:t>
            </w:r>
          </w:p>
        </w:tc>
        <w:tc>
          <w:tcPr>
            <w:tcW w:type="dxa" w:w="1663"/>
          </w:tcPr>
          <w:p>
            <w:pPr>
              <w:bidi w:val="1"/>
              <w:spacing w:before="0" w:after="0" w:line="264" w:lineRule="auto"/>
            </w:pPr>
            <w:r>
              <w:rPr>
                <w:rFonts w:ascii="Arial" w:hAnsi="Arial" w:cs="Arial" w:eastAsia="Arial"/>
                <w:color w:val="0E1E3A"/>
                <w:sz w:val="17"/>
                <w:szCs w:val="17"/>
                <w:rtl/>
              </w:rPr>
              <w:t>7.87</w:t>
            </w:r>
          </w:p>
        </w:tc>
        <w:tc>
          <w:tcPr>
            <w:tcW w:type="dxa" w:w="1663"/>
          </w:tcPr>
          <w:p>
            <w:pPr>
              <w:bidi w:val="1"/>
              <w:spacing w:before="0" w:after="0" w:line="264" w:lineRule="auto"/>
            </w:pPr>
            <w:r>
              <w:rPr>
                <w:rFonts w:ascii="Arial" w:hAnsi="Arial" w:cs="Arial" w:eastAsia="Arial"/>
                <w:color w:val="0E1E3A"/>
                <w:sz w:val="17"/>
                <w:szCs w:val="17"/>
                <w:rtl/>
              </w:rPr>
              <w:t>12.11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2</w:t>
            </w:r>
          </w:p>
        </w:tc>
        <w:tc>
          <w:tcPr>
            <w:tcW w:type="dxa" w:w="1663"/>
          </w:tcPr>
          <w:p>
            <w:pPr>
              <w:bidi w:val="1"/>
              <w:spacing w:before="0" w:after="0" w:line="264" w:lineRule="auto"/>
            </w:pPr>
            <w:r>
              <w:rPr>
                <w:rFonts w:ascii="Arial" w:hAnsi="Arial" w:cs="Arial" w:eastAsia="Arial"/>
                <w:color w:val="0E1E3A"/>
                <w:sz w:val="17"/>
                <w:szCs w:val="17"/>
                <w:rtl/>
              </w:rPr>
              <w:t>2.48</w:t>
            </w:r>
          </w:p>
        </w:tc>
        <w:tc>
          <w:tcPr>
            <w:tcW w:type="dxa" w:w="1663"/>
          </w:tcPr>
          <w:p>
            <w:pPr>
              <w:bidi w:val="1"/>
              <w:spacing w:before="0" w:after="0" w:line="264" w:lineRule="auto"/>
            </w:pPr>
            <w:r>
              <w:rPr>
                <w:rFonts w:ascii="Arial" w:hAnsi="Arial" w:cs="Arial" w:eastAsia="Arial"/>
                <w:color w:val="0E1E3A"/>
                <w:sz w:val="17"/>
                <w:szCs w:val="17"/>
                <w:rtl/>
              </w:rPr>
              <w:t>2.48</w:t>
            </w:r>
          </w:p>
        </w:tc>
        <w:tc>
          <w:tcPr>
            <w:tcW w:type="dxa" w:w="1663"/>
          </w:tcPr>
          <w:p>
            <w:pPr>
              <w:bidi w:val="1"/>
              <w:spacing w:before="0" w:after="0" w:line="264" w:lineRule="auto"/>
            </w:pPr>
            <w:r>
              <w:rPr>
                <w:rFonts w:ascii="Arial" w:hAnsi="Arial" w:cs="Arial" w:eastAsia="Arial"/>
                <w:color w:val="0E1E3A"/>
                <w:sz w:val="17"/>
                <w:szCs w:val="17"/>
                <w:rtl/>
              </w:rPr>
              <w:t>2.02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3</w:t>
            </w:r>
          </w:p>
        </w:tc>
        <w:tc>
          <w:tcPr>
            <w:tcW w:type="dxa" w:w="1663"/>
          </w:tcPr>
          <w:p>
            <w:pPr>
              <w:bidi w:val="1"/>
              <w:spacing w:before="0" w:after="0" w:line="264" w:lineRule="auto"/>
            </w:pPr>
            <w:r>
              <w:rPr>
                <w:rFonts w:ascii="Arial" w:hAnsi="Arial" w:cs="Arial" w:eastAsia="Arial"/>
                <w:color w:val="0E1E3A"/>
                <w:sz w:val="17"/>
                <w:szCs w:val="17"/>
                <w:rtl/>
              </w:rPr>
              <w:t>4.70</w:t>
            </w:r>
          </w:p>
        </w:tc>
        <w:tc>
          <w:tcPr>
            <w:tcW w:type="dxa" w:w="1663"/>
          </w:tcPr>
          <w:p>
            <w:pPr>
              <w:bidi w:val="1"/>
              <w:spacing w:before="0" w:after="0" w:line="264" w:lineRule="auto"/>
            </w:pPr>
            <w:r>
              <w:rPr>
                <w:rFonts w:ascii="Arial" w:hAnsi="Arial" w:cs="Arial" w:eastAsia="Arial"/>
                <w:color w:val="0E1E3A"/>
                <w:sz w:val="17"/>
                <w:szCs w:val="17"/>
                <w:rtl/>
              </w:rPr>
              <w:t>4.70</w:t>
            </w:r>
          </w:p>
        </w:tc>
        <w:tc>
          <w:tcPr>
            <w:tcW w:type="dxa" w:w="1663"/>
          </w:tcPr>
          <w:p>
            <w:pPr>
              <w:bidi w:val="1"/>
              <w:spacing w:before="0" w:after="0" w:line="264" w:lineRule="auto"/>
            </w:pPr>
            <w:r>
              <w:rPr>
                <w:rFonts w:ascii="Arial" w:hAnsi="Arial" w:cs="Arial" w:eastAsia="Arial"/>
                <w:color w:val="0E1E3A"/>
                <w:sz w:val="17"/>
                <w:szCs w:val="17"/>
                <w:rtl/>
              </w:rPr>
              <w:t>9.66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4</w:t>
            </w:r>
          </w:p>
        </w:tc>
        <w:tc>
          <w:tcPr>
            <w:tcW w:type="dxa" w:w="1663"/>
          </w:tcPr>
          <w:p>
            <w:pPr>
              <w:bidi w:val="1"/>
              <w:spacing w:before="0" w:after="0" w:line="264" w:lineRule="auto"/>
            </w:pPr>
            <w:r>
              <w:rPr>
                <w:rFonts w:ascii="Arial" w:hAnsi="Arial" w:cs="Arial" w:eastAsia="Arial"/>
                <w:color w:val="0E1E3A"/>
                <w:sz w:val="17"/>
                <w:szCs w:val="17"/>
                <w:rtl/>
              </w:rPr>
              <w:t>0.76</w:t>
            </w:r>
          </w:p>
        </w:tc>
        <w:tc>
          <w:tcPr>
            <w:tcW w:type="dxa" w:w="1663"/>
          </w:tcPr>
          <w:p>
            <w:pPr>
              <w:bidi w:val="1"/>
              <w:spacing w:before="0" w:after="0" w:line="264" w:lineRule="auto"/>
            </w:pPr>
            <w:r>
              <w:rPr>
                <w:rFonts w:ascii="Arial" w:hAnsi="Arial" w:cs="Arial" w:eastAsia="Arial"/>
                <w:color w:val="0E1E3A"/>
                <w:sz w:val="17"/>
                <w:szCs w:val="17"/>
                <w:rtl/>
              </w:rPr>
              <w:t>0.76</w:t>
            </w:r>
          </w:p>
        </w:tc>
        <w:tc>
          <w:tcPr>
            <w:tcW w:type="dxa" w:w="1663"/>
          </w:tcPr>
          <w:p>
            <w:pPr>
              <w:bidi w:val="1"/>
              <w:spacing w:before="0" w:after="0" w:line="264" w:lineRule="auto"/>
            </w:pPr>
            <w:r>
              <w:rPr>
                <w:rFonts w:ascii="Arial" w:hAnsi="Arial" w:cs="Arial" w:eastAsia="Arial"/>
                <w:color w:val="0E1E3A"/>
                <w:sz w:val="17"/>
                <w:szCs w:val="17"/>
                <w:rtl/>
              </w:rPr>
              <w:t>0.81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5</w:t>
            </w:r>
          </w:p>
        </w:tc>
        <w:tc>
          <w:tcPr>
            <w:tcW w:type="dxa" w:w="1663"/>
          </w:tcPr>
          <w:p>
            <w:pPr>
              <w:bidi w:val="1"/>
              <w:spacing w:before="0" w:after="0" w:line="264" w:lineRule="auto"/>
            </w:pPr>
            <w:r>
              <w:rPr>
                <w:rFonts w:ascii="Arial" w:hAnsi="Arial" w:cs="Arial" w:eastAsia="Arial"/>
                <w:color w:val="0E1E3A"/>
                <w:sz w:val="17"/>
                <w:szCs w:val="17"/>
              </w:rPr>
              <w:t>‎-1.78%‎</w:t>
            </w:r>
          </w:p>
        </w:tc>
        <w:tc>
          <w:tcPr>
            <w:tcW w:type="dxa" w:w="1663"/>
          </w:tcPr>
          <w:p>
            <w:pPr>
              <w:bidi w:val="1"/>
              <w:spacing w:before="0" w:after="0" w:line="264" w:lineRule="auto"/>
            </w:pPr>
            <w:r>
              <w:rPr>
                <w:rFonts w:ascii="Arial" w:hAnsi="Arial" w:cs="Arial" w:eastAsia="Arial"/>
                <w:color w:val="0E1E3A"/>
                <w:sz w:val="17"/>
                <w:szCs w:val="17"/>
              </w:rPr>
              <w:t>‎-1.78%‎</w:t>
            </w:r>
          </w:p>
        </w:tc>
        <w:tc>
          <w:tcPr>
            <w:tcW w:type="dxa" w:w="1663"/>
          </w:tcPr>
          <w:p>
            <w:pPr>
              <w:bidi w:val="1"/>
              <w:spacing w:before="0" w:after="0" w:line="264" w:lineRule="auto"/>
            </w:pPr>
            <w:r>
              <w:rPr>
                <w:rFonts w:ascii="Arial" w:hAnsi="Arial" w:cs="Arial" w:eastAsia="Arial"/>
                <w:color w:val="0E1E3A"/>
                <w:sz w:val="17"/>
                <w:szCs w:val="17"/>
              </w:rPr>
              <w:t>‎12.03%‎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6</w:t>
            </w:r>
          </w:p>
        </w:tc>
        <w:tc>
          <w:tcPr>
            <w:tcW w:type="dxa" w:w="1663"/>
          </w:tcPr>
          <w:p>
            <w:pPr>
              <w:bidi w:val="1"/>
              <w:spacing w:before="0" w:after="0" w:line="264" w:lineRule="auto"/>
            </w:pPr>
            <w:r>
              <w:rPr>
                <w:rFonts w:ascii="Arial" w:hAnsi="Arial" w:cs="Arial" w:eastAsia="Arial"/>
                <w:color w:val="0E1E3A"/>
                <w:sz w:val="17"/>
                <w:szCs w:val="17"/>
                <w:rtl/>
              </w:rPr>
              <w:t>-0.38</w:t>
            </w:r>
          </w:p>
        </w:tc>
        <w:tc>
          <w:tcPr>
            <w:tcW w:type="dxa" w:w="1663"/>
          </w:tcPr>
          <w:p>
            <w:pPr>
              <w:bidi w:val="1"/>
              <w:spacing w:before="0" w:after="0" w:line="264" w:lineRule="auto"/>
            </w:pPr>
            <w:r>
              <w:rPr>
                <w:rFonts w:ascii="Arial" w:hAnsi="Arial" w:cs="Arial" w:eastAsia="Arial"/>
                <w:color w:val="0E1E3A"/>
                <w:sz w:val="17"/>
                <w:szCs w:val="17"/>
                <w:rtl/>
              </w:rPr>
              <w:t>-0.38</w:t>
            </w:r>
          </w:p>
        </w:tc>
        <w:tc>
          <w:tcPr>
            <w:tcW w:type="dxa" w:w="1663"/>
          </w:tcPr>
          <w:p>
            <w:pPr>
              <w:bidi w:val="1"/>
              <w:spacing w:before="0" w:after="0" w:line="264" w:lineRule="auto"/>
            </w:pPr>
            <w:r>
              <w:rPr>
                <w:rFonts w:ascii="Arial" w:hAnsi="Arial" w:cs="Arial" w:eastAsia="Arial"/>
                <w:color w:val="0E1E3A"/>
                <w:sz w:val="17"/>
                <w:szCs w:val="17"/>
                <w:rtl/>
              </w:rPr>
              <w:t>1.25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وكلما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وكلما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و كلما ارتفع معدل المعلومات، كلما ازدادت قدرة مدير الصندوق على تحقيق عوائد زائدة لكل وحدة من المخاطر الزائدة. 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8"/>
            <wp:cNvGraphicFramePr>
              <a:graphicFrameLocks noChangeAspect="1"/>
            </wp:cNvGraphicFramePr>
            <a:graphic>
              <a:graphicData uri="http://schemas.openxmlformats.org/drawingml/2006/picture">
                <pic:pic>
                  <pic:nvPicPr>
                    <pic:cNvPr id="0" name="ico_c788ceab6c6867ef93d8dd6b26beef99.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 xml:space="preserve">وافق مالكو الوحدات خلال اجتماع الجمعية العمومية المنعقد في 19 يوليو 2023م على توصية مدير الصندوق بإعادة شراء ما يصل إلى </w:t>
      </w:r>
      <w:r>
        <w:rPr>
          <w:rFonts w:ascii="Arial" w:hAnsi="Arial" w:cs="Arial" w:eastAsia="Arial"/>
          <w:color w:val="0E1E3A"/>
          <w:sz w:val="20"/>
          <w:szCs w:val="20"/>
        </w:rPr>
        <w:t>‎50%‎</w:t>
      </w:r>
      <w:r>
        <w:rPr>
          <w:rFonts w:ascii="Arial" w:hAnsi="Arial" w:cs="Arial" w:eastAsia="Arial"/>
          <w:color w:val="0E1E3A"/>
          <w:sz w:val="20"/>
          <w:szCs w:val="20"/>
          <w:rtl/>
        </w:rPr>
        <w:t xml:space="preserve"> من مجموع الوحدات المتداولة بغرض إلغائها.</w:t>
      </w:r>
    </w:p>
    <w:p>
      <w:pPr>
        <w:bidi w:val="1"/>
        <w:spacing w:before="0" w:after="80" w:line="312" w:lineRule="auto"/>
      </w:pPr>
      <w:r>
        <w:rPr>
          <w:rFonts w:ascii="Arial" w:hAnsi="Arial" w:cs="Arial" w:eastAsia="Arial"/>
          <w:color w:val="0E1E3A"/>
          <w:sz w:val="20"/>
          <w:szCs w:val="20"/>
          <w:rtl/>
        </w:rPr>
        <w:t xml:space="preserve">كما في 31 مارس 2024م، استطاع مدير الصندوق إعادة شراء ما مجموعه 28,383,198 وحدة، أو ما يعادل </w:t>
      </w:r>
      <w:r>
        <w:rPr>
          <w:rFonts w:ascii="Arial" w:hAnsi="Arial" w:cs="Arial" w:eastAsia="Arial"/>
          <w:color w:val="0E1E3A"/>
          <w:sz w:val="20"/>
          <w:szCs w:val="20"/>
        </w:rPr>
        <w:t>‎28.38%‎</w:t>
      </w:r>
      <w:r>
        <w:rPr>
          <w:rFonts w:ascii="Arial" w:hAnsi="Arial" w:cs="Arial" w:eastAsia="Arial"/>
          <w:color w:val="0E1E3A"/>
          <w:sz w:val="20"/>
          <w:szCs w:val="20"/>
          <w:rtl/>
        </w:rPr>
        <w:t xml:space="preserve"> من مجموع عدد وحدات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5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80" w:line="312" w:lineRule="auto"/>
      </w:pPr>
      <w:r>
        <w:rPr>
          <w:rFonts w:ascii="Arial" w:hAnsi="Arial" w:cs="Arial" w:eastAsia="Arial"/>
          <w:color w:val="0E1E3A"/>
          <w:sz w:val="20"/>
          <w:szCs w:val="20"/>
          <w:rtl/>
        </w:rPr>
        <w:t xml:space="preserve">في الربع الأول من العام 2024م، شهدت أسواق الأسهم العالمية استمرار الزخم الإيجابي من الربع الأخير مدفوعا بشكل رئيسي من نمو الناتج المحلي الإجمالي، وتقارير أرباح الشركات الإيجابية، واستمرار المسار الهبوطي المتوقع للتضخم، وتوقف بنك الاحتياطي الفيدرالي الأمريكي عن استمرار رفع الفائدة وتوقعاته بالبدء في خفضها خلال العام 2024م. وارتفع مؤشر "الخبير للأسهم العالمية" بنسبة </w:t>
      </w:r>
      <w:r>
        <w:rPr>
          <w:rFonts w:ascii="Arial" w:hAnsi="Arial" w:cs="Arial" w:eastAsia="Arial"/>
          <w:color w:val="0E1E3A"/>
          <w:sz w:val="20"/>
          <w:szCs w:val="20"/>
        </w:rPr>
        <w:t>‎6.55%‎</w:t>
      </w:r>
      <w:r>
        <w:rPr>
          <w:rFonts w:ascii="Arial" w:hAnsi="Arial" w:cs="Arial" w:eastAsia="Arial"/>
          <w:color w:val="0E1E3A"/>
          <w:sz w:val="20"/>
          <w:szCs w:val="20"/>
          <w:rtl/>
        </w:rPr>
        <w:t xml:space="preserve"> في الربع الأول من العام 2024م، وبنسبة </w:t>
      </w:r>
      <w:r>
        <w:rPr>
          <w:rFonts w:ascii="Arial" w:hAnsi="Arial" w:cs="Arial" w:eastAsia="Arial"/>
          <w:color w:val="0E1E3A"/>
          <w:sz w:val="20"/>
          <w:szCs w:val="20"/>
        </w:rPr>
        <w:t>‎20.6%‎</w:t>
      </w:r>
      <w:r>
        <w:rPr>
          <w:rFonts w:ascii="Arial" w:hAnsi="Arial" w:cs="Arial" w:eastAsia="Arial"/>
          <w:color w:val="0E1E3A"/>
          <w:sz w:val="20"/>
          <w:szCs w:val="20"/>
          <w:rtl/>
        </w:rPr>
        <w:t xml:space="preserve"> للسنة المنتهية في العام 2023م.</w:t>
      </w:r>
    </w:p>
    <w:p>
      <w:pPr>
        <w:bidi w:val="1"/>
        <w:spacing w:before="0" w:after="80" w:line="312" w:lineRule="auto"/>
      </w:pPr>
      <w:r>
        <w:rPr>
          <w:rFonts w:ascii="Arial" w:hAnsi="Arial" w:cs="Arial" w:eastAsia="Arial"/>
          <w:color w:val="0E1E3A"/>
          <w:sz w:val="20"/>
          <w:szCs w:val="20"/>
          <w:rtl/>
        </w:rPr>
        <w:t>يتوقع صندوق النقد الدولي نموا إيجابيا للناتج المحلي الإجمالي عالميا (</w:t>
      </w:r>
      <w:r>
        <w:rPr>
          <w:rFonts w:ascii="Arial" w:hAnsi="Arial" w:cs="Arial" w:eastAsia="Arial"/>
          <w:color w:val="0E1E3A"/>
          <w:sz w:val="20"/>
          <w:szCs w:val="20"/>
        </w:rPr>
        <w:t>‎3.1%‎</w:t>
      </w:r>
      <w:r>
        <w:rPr>
          <w:rFonts w:ascii="Arial" w:hAnsi="Arial" w:cs="Arial" w:eastAsia="Arial"/>
          <w:color w:val="0E1E3A"/>
          <w:sz w:val="20"/>
          <w:szCs w:val="20"/>
          <w:rtl/>
        </w:rPr>
        <w:t>)، والأسواق المتقدمة (</w:t>
      </w:r>
      <w:r>
        <w:rPr>
          <w:rFonts w:ascii="Arial" w:hAnsi="Arial" w:cs="Arial" w:eastAsia="Arial"/>
          <w:color w:val="0E1E3A"/>
          <w:sz w:val="20"/>
          <w:szCs w:val="20"/>
        </w:rPr>
        <w:t>‎1.5%‎</w:t>
      </w:r>
      <w:r>
        <w:rPr>
          <w:rFonts w:ascii="Arial" w:hAnsi="Arial" w:cs="Arial" w:eastAsia="Arial"/>
          <w:color w:val="0E1E3A"/>
          <w:sz w:val="20"/>
          <w:szCs w:val="20"/>
          <w:rtl/>
        </w:rPr>
        <w:t>)، والأسواق الناشئة (</w:t>
      </w:r>
      <w:r>
        <w:rPr>
          <w:rFonts w:ascii="Arial" w:hAnsi="Arial" w:cs="Arial" w:eastAsia="Arial"/>
          <w:color w:val="0E1E3A"/>
          <w:sz w:val="20"/>
          <w:szCs w:val="20"/>
        </w:rPr>
        <w:t>‎4.1%‎</w:t>
      </w:r>
      <w:r>
        <w:rPr>
          <w:rFonts w:ascii="Arial" w:hAnsi="Arial" w:cs="Arial" w:eastAsia="Arial"/>
          <w:color w:val="0E1E3A"/>
          <w:sz w:val="20"/>
          <w:szCs w:val="20"/>
          <w:rtl/>
        </w:rPr>
        <w:t>)، والولايات المتحدة الأمريكية (</w:t>
      </w:r>
      <w:r>
        <w:rPr>
          <w:rFonts w:ascii="Arial" w:hAnsi="Arial" w:cs="Arial" w:eastAsia="Arial"/>
          <w:color w:val="0E1E3A"/>
          <w:sz w:val="20"/>
          <w:szCs w:val="20"/>
        </w:rPr>
        <w:t>‎2.1%‎</w:t>
      </w:r>
      <w:r>
        <w:rPr>
          <w:rFonts w:ascii="Arial" w:hAnsi="Arial" w:cs="Arial" w:eastAsia="Arial"/>
          <w:color w:val="0E1E3A"/>
          <w:sz w:val="20"/>
          <w:szCs w:val="20"/>
          <w:rtl/>
        </w:rPr>
        <w:t>)، ولكن من المتوقع أن تكون الوتيرة أبطأ من المتوسطات التاريخية طويلة المدى. وستعتمد التوقعات والنتائج المالية للعام 2024م على التخفيف المتوقع لأسعار الفائدة والتضخم، وتحسن نمو الناتج المحلي الإجمالي، وتحسن الأرباح.</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6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الاسترشادي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8" name="Picture 9061"/>
            <wp:cNvGraphicFramePr>
              <a:graphicFrameLocks noChangeAspect="1"/>
            </wp:cNvGraphicFramePr>
            <a:graphic>
              <a:graphicData uri="http://schemas.openxmlformats.org/drawingml/2006/picture">
                <pic:pic>
                  <pic:nvPicPr>
                    <pic:cNvPr id="0" name="x7.j.jpg"/>
                    <pic:cNvPicPr/>
                  </pic:nvPicPr>
                  <pic:blipFill>
                    <a:blip r:embed="rId25"/>
                    <a:stretch>
                      <a:fillRect/>
                    </a:stretch>
                  </pic:blipFill>
                  <pic:spPr>
                    <a:xfrm>
                      <a:off x="0" y="0"/>
                      <a:ext cx="6336000" cy="318702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9" name="Picture 906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0" name="Picture 9063"/>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الأول 2024م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