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4"/>
            <wp:cNvGraphicFramePr/>
            <a:graphic>
              <a:graphicData uri="http://schemas.openxmlformats.org/drawingml/2006/picture">
                <pic:pic>
                  <pic:nvPicPr>
                    <pic:cNvPr id="9034" name="banner903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11.7473</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843,609,574</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0.07%</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91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3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843,609,574</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841,302,365</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322,317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0.040%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0.29%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0.29%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0.30%</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2,450,395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0.30%</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2024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814,306,229.</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3"/>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54270"/>
            <wp:docPr id="12" name="Picture 9045"/>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794,901,207</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46,401,158</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5" name="Picture 9048"/>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4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 (27 APRIL 2022)</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633,808,698</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642,402,714</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r>
        <w:br/>
      </w:r>
      <w:r>
        <w:rPr>
          <w:rFonts w:ascii="Arial" w:hAnsi="Arial" w:cs="Arial" w:eastAsia="Arial"/>
          <w:color w:val="5A6478"/>
          <w:sz w:val="17"/>
          <w:szCs w:val="17"/>
        </w:rPr>
        <w:t>*** Excluding Units bought back by the Fund for cancellation (28,383,198 Units) as at 31 March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(31 MARCH 2024)</w:t>
            </w:r>
          </w:p>
        </w:tc>
        <w:tc>
          <w:tcPr>
            <w:tcW w:type="dxa" w:w="6860"/>
          </w:tcPr>
          <w:p>
            <w:pPr>
              <w:spacing w:before="0" w:after="0" w:line="276" w:lineRule="auto"/>
            </w:pPr>
            <w:r>
              <w:rPr>
                <w:rFonts w:ascii="Arial" w:hAnsi="Arial" w:cs="Arial" w:eastAsia="Arial"/>
                <w:b/>
                <w:bCs/>
                <w:color w:val="0E1E3A"/>
                <w:sz w:val="18"/>
                <w:szCs w:val="18"/>
              </w:rPr>
              <w:t>SAR 8.97</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(31 DECEMBER 2023 TO 31 MARCH 2024)</w:t>
            </w:r>
          </w:p>
        </w:tc>
        <w:tc>
          <w:tcPr>
            <w:tcW w:type="dxa" w:w="6860"/>
          </w:tcPr>
          <w:p>
            <w:pPr>
              <w:spacing w:before="0" w:after="0" w:line="276" w:lineRule="auto"/>
            </w:pPr>
            <w:r>
              <w:rPr>
                <w:rFonts w:ascii="Arial" w:hAnsi="Arial" w:cs="Arial" w:eastAsia="Arial"/>
                <w:b/>
                <w:bCs/>
                <w:color w:val="0E1E3A"/>
                <w:sz w:val="18"/>
                <w:szCs w:val="18"/>
              </w:rPr>
              <w:t>1.36%</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2024)</w:t>
            </w:r>
          </w:p>
        </w:tc>
        <w:tc>
          <w:tcPr>
            <w:tcW w:type="dxa" w:w="6860"/>
          </w:tcPr>
          <w:p>
            <w:pPr>
              <w:spacing w:before="0" w:after="0" w:line="276" w:lineRule="auto"/>
            </w:pPr>
            <w:r>
              <w:rPr>
                <w:rFonts w:ascii="Arial" w:hAnsi="Arial" w:cs="Arial" w:eastAsia="Arial"/>
                <w:b/>
                <w:bCs/>
                <w:color w:val="0E1E3A"/>
                <w:sz w:val="18"/>
                <w:szCs w:val="18"/>
              </w:rPr>
              <w:t>-10.30%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Q1 2024)</w:t>
            </w:r>
          </w:p>
        </w:tc>
        <w:tc>
          <w:tcPr>
            <w:tcW w:type="dxa" w:w="6860"/>
          </w:tcPr>
          <w:p>
            <w:pPr>
              <w:spacing w:before="0" w:after="0" w:line="276" w:lineRule="auto"/>
            </w:pPr>
            <w:r>
              <w:rPr>
                <w:rFonts w:ascii="Arial" w:hAnsi="Arial" w:cs="Arial" w:eastAsia="Arial"/>
                <w:b/>
                <w:bCs/>
                <w:color w:val="0E1E3A"/>
                <w:sz w:val="18"/>
                <w:szCs w:val="18"/>
              </w:rPr>
              <w:t>-1.02%</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9.97</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6.08</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31 MARCH 2024) *</w:t>
            </w:r>
          </w:p>
        </w:tc>
        <w:tc>
          <w:tcPr>
            <w:tcW w:type="dxa" w:w="6860"/>
          </w:tcPr>
          <w:p>
            <w:pPr>
              <w:spacing w:before="0" w:after="0" w:line="276" w:lineRule="auto"/>
            </w:pPr>
            <w:r>
              <w:rPr>
                <w:rFonts w:ascii="Arial" w:hAnsi="Arial" w:cs="Arial" w:eastAsia="Arial"/>
                <w:b/>
                <w:bCs/>
                <w:color w:val="0E1E3A"/>
                <w:sz w:val="18"/>
                <w:szCs w:val="18"/>
              </w:rPr>
              <w:t>71,616,802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79,225,591</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0.93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3,127,413</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GAIN ON THE FUND'S INVESTMENTS</w:t>
            </w:r>
          </w:p>
        </w:tc>
        <w:tc>
          <w:tcPr>
            <w:tcW w:type="dxa" w:w="6860"/>
          </w:tcPr>
          <w:p>
            <w:pPr>
              <w:spacing w:before="0" w:after="0" w:line="276" w:lineRule="auto"/>
            </w:pPr>
            <w:r>
              <w:rPr>
                <w:rFonts w:ascii="Arial" w:hAnsi="Arial" w:cs="Arial" w:eastAsia="Arial"/>
                <w:b/>
                <w:bCs/>
                <w:color w:val="0E1E3A"/>
                <w:sz w:val="18"/>
                <w:szCs w:val="18"/>
              </w:rPr>
              <w:t>SAR 17,330,367</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GAIN ON THE FUND'S INVESTMENTS</w:t>
            </w:r>
          </w:p>
        </w:tc>
        <w:tc>
          <w:tcPr>
            <w:tcW w:type="dxa" w:w="6860"/>
          </w:tcPr>
          <w:p>
            <w:pPr>
              <w:spacing w:before="0" w:after="0" w:line="276" w:lineRule="auto"/>
            </w:pPr>
            <w:r>
              <w:rPr>
                <w:rFonts w:ascii="Arial" w:hAnsi="Arial" w:cs="Arial" w:eastAsia="Arial"/>
                <w:b/>
                <w:bCs/>
                <w:color w:val="0E1E3A"/>
                <w:sz w:val="18"/>
                <w:szCs w:val="18"/>
              </w:rPr>
              <w:t>SAR 30,236,601</w:t>
            </w:r>
          </w:p>
        </w:tc>
      </w:tr>
      <w:tr>
        <w:tc>
          <w:tcPr>
            <w:tcW w:type="dxa" w:w="3118"/>
            <w:shd w:val="clear" w:color="auto" w:fill="F3F6FB"/>
          </w:tcPr>
          <w:p>
            <w:pPr>
              <w:spacing w:before="0" w:after="0" w:line="276" w:lineRule="auto"/>
            </w:pPr>
            <w:r>
              <w:rPr>
                <w:rFonts w:ascii="Arial" w:hAnsi="Arial" w:cs="Arial" w:eastAsia="Arial"/>
                <w:color w:val="5A6478"/>
                <w:sz w:val="18"/>
                <w:szCs w:val="18"/>
              </w:rPr>
              <w:t>LOSS FROM FOREIGN CURRENCY RATE DIFFERENCES</w:t>
            </w:r>
          </w:p>
        </w:tc>
        <w:tc>
          <w:tcPr>
            <w:tcW w:type="dxa" w:w="6860"/>
          </w:tcPr>
          <w:p>
            <w:pPr>
              <w:spacing w:before="0" w:after="0" w:line="276" w:lineRule="auto"/>
            </w:pPr>
            <w:r>
              <w:rPr>
                <w:rFonts w:ascii="Arial" w:hAnsi="Arial" w:cs="Arial" w:eastAsia="Arial"/>
                <w:b/>
                <w:bCs/>
                <w:color w:val="0E1E3A"/>
                <w:sz w:val="18"/>
                <w:szCs w:val="18"/>
              </w:rPr>
              <w:t>SAR (22,604)</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50,671,778</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31 MARCH 2024</w:t>
            </w:r>
          </w:p>
        </w:tc>
        <w:tc>
          <w:tcPr>
            <w:tcW w:type="dxa" w:w="6860"/>
          </w:tcPr>
          <w:p>
            <w:pPr>
              <w:spacing w:before="0" w:after="0" w:line="276" w:lineRule="auto"/>
            </w:pPr>
            <w:r>
              <w:rPr>
                <w:rFonts w:ascii="Arial" w:hAnsi="Arial" w:cs="Arial" w:eastAsia="Arial"/>
                <w:b/>
                <w:bCs/>
                <w:color w:val="0E1E3A"/>
                <w:sz w:val="18"/>
                <w:szCs w:val="18"/>
              </w:rPr>
              <w:t>6.02%</w:t>
            </w:r>
          </w:p>
        </w:tc>
      </w:tr>
    </w:tbl>
    <w:p>
      <w:pPr>
        <w:spacing w:before="0" w:after="40" w:line="300" w:lineRule="auto"/>
      </w:pPr>
    </w:p>
    <w:p>
      <w:pPr>
        <w:spacing w:before="0" w:after="80" w:line="312" w:lineRule="auto"/>
      </w:pPr>
      <w:r>
        <w:rPr>
          <w:rFonts w:ascii="Arial" w:hAnsi="Arial" w:cs="Arial" w:eastAsia="Arial"/>
          <w:color w:val="5A6478"/>
          <w:sz w:val="17"/>
          <w:szCs w:val="17"/>
        </w:rPr>
        <w:t>* Number of Units as at the dividend distribution date was 85,188,808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28.21%</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21.9x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11.0740</w:t>
            </w:r>
          </w:p>
        </w:tc>
        <w:tc>
          <w:tcPr>
            <w:tcW w:type="dxa" w:w="3326"/>
          </w:tcPr>
          <w:p>
            <w:pPr>
              <w:spacing w:before="0" w:after="0" w:line="264" w:lineRule="auto"/>
            </w:pPr>
            <w:r>
              <w:rPr>
                <w:rFonts w:ascii="Arial" w:hAnsi="Arial" w:cs="Arial" w:eastAsia="Arial"/>
                <w:color w:val="0E1E3A"/>
                <w:sz w:val="17"/>
                <w:szCs w:val="17"/>
              </w:rPr>
              <w:t>107.0119</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11.7473</w:t>
            </w:r>
          </w:p>
        </w:tc>
        <w:tc>
          <w:tcPr>
            <w:tcW w:type="dxa" w:w="3326"/>
          </w:tcPr>
          <w:p>
            <w:pPr>
              <w:spacing w:before="0" w:after="0" w:line="264" w:lineRule="auto"/>
            </w:pPr>
            <w:r>
              <w:rPr>
                <w:rFonts w:ascii="Arial" w:hAnsi="Arial" w:cs="Arial" w:eastAsia="Arial"/>
                <w:color w:val="0E1E3A"/>
                <w:sz w:val="17"/>
                <w:szCs w:val="17"/>
              </w:rPr>
              <w:t>114.0263</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6.08%</w:t>
            </w:r>
          </w:p>
        </w:tc>
        <w:tc>
          <w:tcPr>
            <w:tcW w:type="dxa" w:w="3326"/>
          </w:tcPr>
          <w:p>
            <w:pPr>
              <w:spacing w:before="0" w:after="0" w:line="264" w:lineRule="auto"/>
            </w:pPr>
            <w:r>
              <w:rPr>
                <w:rFonts w:ascii="Arial" w:hAnsi="Arial" w:cs="Arial" w:eastAsia="Arial"/>
                <w:color w:val="0E1E3A"/>
                <w:sz w:val="17"/>
                <w:szCs w:val="17"/>
              </w:rPr>
              <w:t>6.55%</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6.08%</w:t>
            </w:r>
          </w:p>
        </w:tc>
        <w:tc>
          <w:tcPr>
            <w:tcW w:type="dxa" w:w="1663"/>
          </w:tcPr>
          <w:p>
            <w:pPr>
              <w:spacing w:before="0" w:after="0" w:line="264" w:lineRule="auto"/>
            </w:pPr>
            <w:r>
              <w:rPr>
                <w:rFonts w:ascii="Arial" w:hAnsi="Arial" w:cs="Arial" w:eastAsia="Arial"/>
                <w:color w:val="0E1E3A"/>
                <w:sz w:val="17"/>
                <w:szCs w:val="17"/>
              </w:rPr>
              <w:t>6.08%</w:t>
            </w:r>
          </w:p>
        </w:tc>
        <w:tc>
          <w:tcPr>
            <w:tcW w:type="dxa" w:w="1663"/>
          </w:tcPr>
          <w:p>
            <w:pPr>
              <w:spacing w:before="0" w:after="0" w:line="264" w:lineRule="auto"/>
            </w:pPr>
            <w:r>
              <w:rPr>
                <w:rFonts w:ascii="Arial" w:hAnsi="Arial" w:cs="Arial" w:eastAsia="Arial"/>
                <w:color w:val="0E1E3A"/>
                <w:sz w:val="17"/>
                <w:szCs w:val="17"/>
              </w:rPr>
              <w:t>23.97%</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6.55%</w:t>
            </w:r>
          </w:p>
        </w:tc>
        <w:tc>
          <w:tcPr>
            <w:tcW w:type="dxa" w:w="1663"/>
          </w:tcPr>
          <w:p>
            <w:pPr>
              <w:spacing w:before="0" w:after="0" w:line="264" w:lineRule="auto"/>
            </w:pPr>
            <w:r>
              <w:rPr>
                <w:rFonts w:ascii="Arial" w:hAnsi="Arial" w:cs="Arial" w:eastAsia="Arial"/>
                <w:color w:val="0E1E3A"/>
                <w:sz w:val="17"/>
                <w:szCs w:val="17"/>
              </w:rPr>
              <w:t>6.55%</w:t>
            </w:r>
          </w:p>
        </w:tc>
        <w:tc>
          <w:tcPr>
            <w:tcW w:type="dxa" w:w="1663"/>
          </w:tcPr>
          <w:p>
            <w:pPr>
              <w:spacing w:before="0" w:after="0" w:line="264" w:lineRule="auto"/>
            </w:pPr>
            <w:r>
              <w:rPr>
                <w:rFonts w:ascii="Arial" w:hAnsi="Arial" w:cs="Arial" w:eastAsia="Arial"/>
                <w:color w:val="0E1E3A"/>
                <w:sz w:val="17"/>
                <w:szCs w:val="17"/>
              </w:rPr>
              <w:t>18.26%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-0.47%</w:t>
            </w:r>
          </w:p>
        </w:tc>
        <w:tc>
          <w:tcPr>
            <w:tcW w:type="dxa" w:w="1663"/>
          </w:tcPr>
          <w:p>
            <w:pPr>
              <w:spacing w:before="0" w:after="0" w:line="264" w:lineRule="auto"/>
            </w:pPr>
            <w:r>
              <w:rPr>
                <w:rFonts w:ascii="Arial" w:hAnsi="Arial" w:cs="Arial" w:eastAsia="Arial"/>
                <w:color w:val="0E1E3A"/>
                <w:sz w:val="17"/>
                <w:szCs w:val="17"/>
              </w:rPr>
              <w:t>-0.47%</w:t>
            </w:r>
          </w:p>
        </w:tc>
        <w:tc>
          <w:tcPr>
            <w:tcW w:type="dxa" w:w="1663"/>
          </w:tcPr>
          <w:p>
            <w:pPr>
              <w:spacing w:before="0" w:after="0" w:line="264" w:lineRule="auto"/>
            </w:pPr>
            <w:r>
              <w:rPr>
                <w:rFonts w:ascii="Arial" w:hAnsi="Arial" w:cs="Arial" w:eastAsia="Arial"/>
                <w:color w:val="0E1E3A"/>
                <w:sz w:val="17"/>
                <w:szCs w:val="17"/>
              </w:rPr>
              <w:t>5.71%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Unit Price Performance plus Dividends (if any).</w:t>
      </w:r>
      <w:r>
        <w:br/>
      </w:r>
      <w:r>
        <w:rPr>
          <w:rFonts w:ascii="Arial" w:hAnsi="Arial" w:cs="Arial" w:eastAsia="Arial"/>
          <w:color w:val="5A6478"/>
          <w:sz w:val="17"/>
          <w:szCs w:val="17"/>
        </w:rPr>
        <w:t>** For the period from 31 December 2023 to 31 March 2024.</w:t>
      </w:r>
      <w:r>
        <w:br/>
      </w:r>
      <w:r>
        <w:rPr>
          <w:rFonts w:ascii="Arial" w:hAnsi="Arial" w:cs="Arial" w:eastAsia="Arial"/>
          <w:color w:val="5A6478"/>
          <w:sz w:val="17"/>
          <w:szCs w:val="17"/>
        </w:rPr>
        <w:t>*** For the period from 31 March 2023 to 31 March 2024, including cash distributions of SAR 0.93.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7"/>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7.87</w:t>
            </w:r>
          </w:p>
        </w:tc>
        <w:tc>
          <w:tcPr>
            <w:tcW w:type="dxa" w:w="1663"/>
          </w:tcPr>
          <w:p>
            <w:pPr>
              <w:spacing w:before="0" w:after="0" w:line="264" w:lineRule="auto"/>
            </w:pPr>
            <w:r>
              <w:rPr>
                <w:rFonts w:ascii="Arial" w:hAnsi="Arial" w:cs="Arial" w:eastAsia="Arial"/>
                <w:color w:val="0E1E3A"/>
                <w:sz w:val="17"/>
                <w:szCs w:val="17"/>
              </w:rPr>
              <w:t>7.87</w:t>
            </w:r>
          </w:p>
        </w:tc>
        <w:tc>
          <w:tcPr>
            <w:tcW w:type="dxa" w:w="1663"/>
          </w:tcPr>
          <w:p>
            <w:pPr>
              <w:spacing w:before="0" w:after="0" w:line="264" w:lineRule="auto"/>
            </w:pPr>
            <w:r>
              <w:rPr>
                <w:rFonts w:ascii="Arial" w:hAnsi="Arial" w:cs="Arial" w:eastAsia="Arial"/>
                <w:color w:val="0E1E3A"/>
                <w:sz w:val="17"/>
                <w:szCs w:val="17"/>
              </w:rPr>
              <w:t>12.11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2.48</w:t>
            </w:r>
          </w:p>
        </w:tc>
        <w:tc>
          <w:tcPr>
            <w:tcW w:type="dxa" w:w="1663"/>
          </w:tcPr>
          <w:p>
            <w:pPr>
              <w:spacing w:before="0" w:after="0" w:line="264" w:lineRule="auto"/>
            </w:pPr>
            <w:r>
              <w:rPr>
                <w:rFonts w:ascii="Arial" w:hAnsi="Arial" w:cs="Arial" w:eastAsia="Arial"/>
                <w:color w:val="0E1E3A"/>
                <w:sz w:val="17"/>
                <w:szCs w:val="17"/>
              </w:rPr>
              <w:t>2.48</w:t>
            </w:r>
          </w:p>
        </w:tc>
        <w:tc>
          <w:tcPr>
            <w:tcW w:type="dxa" w:w="1663"/>
          </w:tcPr>
          <w:p>
            <w:pPr>
              <w:spacing w:before="0" w:after="0" w:line="264" w:lineRule="auto"/>
            </w:pPr>
            <w:r>
              <w:rPr>
                <w:rFonts w:ascii="Arial" w:hAnsi="Arial" w:cs="Arial" w:eastAsia="Arial"/>
                <w:color w:val="0E1E3A"/>
                <w:sz w:val="17"/>
                <w:szCs w:val="17"/>
              </w:rPr>
              <w:t>2.02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4.70</w:t>
            </w:r>
          </w:p>
        </w:tc>
        <w:tc>
          <w:tcPr>
            <w:tcW w:type="dxa" w:w="1663"/>
          </w:tcPr>
          <w:p>
            <w:pPr>
              <w:spacing w:before="0" w:after="0" w:line="264" w:lineRule="auto"/>
            </w:pPr>
            <w:r>
              <w:rPr>
                <w:rFonts w:ascii="Arial" w:hAnsi="Arial" w:cs="Arial" w:eastAsia="Arial"/>
                <w:color w:val="0E1E3A"/>
                <w:sz w:val="17"/>
                <w:szCs w:val="17"/>
              </w:rPr>
              <w:t>4.70</w:t>
            </w:r>
          </w:p>
        </w:tc>
        <w:tc>
          <w:tcPr>
            <w:tcW w:type="dxa" w:w="1663"/>
          </w:tcPr>
          <w:p>
            <w:pPr>
              <w:spacing w:before="0" w:after="0" w:line="264" w:lineRule="auto"/>
            </w:pPr>
            <w:r>
              <w:rPr>
                <w:rFonts w:ascii="Arial" w:hAnsi="Arial" w:cs="Arial" w:eastAsia="Arial"/>
                <w:color w:val="0E1E3A"/>
                <w:sz w:val="17"/>
                <w:szCs w:val="17"/>
              </w:rPr>
              <w:t>9.66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0.76</w:t>
            </w:r>
          </w:p>
        </w:tc>
        <w:tc>
          <w:tcPr>
            <w:tcW w:type="dxa" w:w="1663"/>
          </w:tcPr>
          <w:p>
            <w:pPr>
              <w:spacing w:before="0" w:after="0" w:line="264" w:lineRule="auto"/>
            </w:pPr>
            <w:r>
              <w:rPr>
                <w:rFonts w:ascii="Arial" w:hAnsi="Arial" w:cs="Arial" w:eastAsia="Arial"/>
                <w:color w:val="0E1E3A"/>
                <w:sz w:val="17"/>
                <w:szCs w:val="17"/>
              </w:rPr>
              <w:t>0.76</w:t>
            </w:r>
          </w:p>
        </w:tc>
        <w:tc>
          <w:tcPr>
            <w:tcW w:type="dxa" w:w="1663"/>
          </w:tcPr>
          <w:p>
            <w:pPr>
              <w:spacing w:before="0" w:after="0" w:line="264" w:lineRule="auto"/>
            </w:pPr>
            <w:r>
              <w:rPr>
                <w:rFonts w:ascii="Arial" w:hAnsi="Arial" w:cs="Arial" w:eastAsia="Arial"/>
                <w:color w:val="0E1E3A"/>
                <w:sz w:val="17"/>
                <w:szCs w:val="17"/>
              </w:rPr>
              <w:t>0.81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-1.78%</w:t>
            </w:r>
          </w:p>
        </w:tc>
        <w:tc>
          <w:tcPr>
            <w:tcW w:type="dxa" w:w="1663"/>
          </w:tcPr>
          <w:p>
            <w:pPr>
              <w:spacing w:before="0" w:after="0" w:line="264" w:lineRule="auto"/>
            </w:pPr>
            <w:r>
              <w:rPr>
                <w:rFonts w:ascii="Arial" w:hAnsi="Arial" w:cs="Arial" w:eastAsia="Arial"/>
                <w:color w:val="0E1E3A"/>
                <w:sz w:val="17"/>
                <w:szCs w:val="17"/>
              </w:rPr>
              <w:t>-1.78%</w:t>
            </w:r>
          </w:p>
        </w:tc>
        <w:tc>
          <w:tcPr>
            <w:tcW w:type="dxa" w:w="1663"/>
          </w:tcPr>
          <w:p>
            <w:pPr>
              <w:spacing w:before="0" w:after="0" w:line="264" w:lineRule="auto"/>
            </w:pPr>
            <w:r>
              <w:rPr>
                <w:rFonts w:ascii="Arial" w:hAnsi="Arial" w:cs="Arial" w:eastAsia="Arial"/>
                <w:color w:val="0E1E3A"/>
                <w:sz w:val="17"/>
                <w:szCs w:val="17"/>
              </w:rPr>
              <w:t>12.03%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-0.38</w:t>
            </w:r>
          </w:p>
        </w:tc>
        <w:tc>
          <w:tcPr>
            <w:tcW w:type="dxa" w:w="1663"/>
          </w:tcPr>
          <w:p>
            <w:pPr>
              <w:spacing w:before="0" w:after="0" w:line="264" w:lineRule="auto"/>
            </w:pPr>
            <w:r>
              <w:rPr>
                <w:rFonts w:ascii="Arial" w:hAnsi="Arial" w:cs="Arial" w:eastAsia="Arial"/>
                <w:color w:val="0E1E3A"/>
                <w:sz w:val="17"/>
                <w:szCs w:val="17"/>
              </w:rPr>
              <w:t>-0.38</w:t>
            </w:r>
          </w:p>
        </w:tc>
        <w:tc>
          <w:tcPr>
            <w:tcW w:type="dxa" w:w="1663"/>
          </w:tcPr>
          <w:p>
            <w:pPr>
              <w:spacing w:before="0" w:after="0" w:line="264" w:lineRule="auto"/>
            </w:pPr>
            <w:r>
              <w:rPr>
                <w:rFonts w:ascii="Arial" w:hAnsi="Arial" w:cs="Arial" w:eastAsia="Arial"/>
                <w:color w:val="0E1E3A"/>
                <w:sz w:val="17"/>
                <w:szCs w:val="17"/>
              </w:rPr>
              <w:t>1.25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 to generate excess returns per Unit of excess risk. 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In the general assembly meeting held on 19 July 2023, the unitholders approved the Buyback for Cancellation of Units of up to 50% of the total existing units.</w:t>
      </w:r>
    </w:p>
    <w:p>
      <w:pPr>
        <w:spacing w:before="0" w:after="80" w:line="312" w:lineRule="auto"/>
      </w:pPr>
      <w:r>
        <w:rPr>
          <w:rFonts w:ascii="Arial" w:hAnsi="Arial" w:cs="Arial" w:eastAsia="Arial"/>
          <w:color w:val="0E1E3A"/>
          <w:sz w:val="20"/>
          <w:szCs w:val="20"/>
        </w:rPr>
        <w:t>As of March 31, 2024, the Fund Manager has successfully bought back 28,383,198 units of the Fund amounting to 28.38% of the total number of units.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59"/>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In Q1 2024, global equity markets saw a continuation of the positive momentum which was witnessed Q4 2023 driven mainly by GDP growth, positive company earnings, continued decline of inflation rates, the US Fed’s freeze on interest rate hikes and its expectations that interest rates will start to decline in 2024. Alkhabeer Global Equity Index rose by 6.55% in Q1 2024 and by 20.6% for the year 2023.</w:t>
      </w:r>
    </w:p>
    <w:p>
      <w:pPr>
        <w:spacing w:before="0" w:after="80" w:line="312" w:lineRule="auto"/>
      </w:pPr>
      <w:r>
        <w:rPr>
          <w:rFonts w:ascii="Arial" w:hAnsi="Arial" w:cs="Arial" w:eastAsia="Arial"/>
          <w:color w:val="0E1E3A"/>
          <w:sz w:val="20"/>
          <w:szCs w:val="20"/>
        </w:rPr>
        <w:t>IMF forecasts favorable growth of global GDP (3.1%), developed markets (1.5%), emerging markets (4.1%) and the US markets (2.1%). However, the pace is expected to be slower compared to long term historic averages. The fiscal forecasts and results for 2024 will be dependent on the expected decrease of the interest and inflation rates, improved GDP growth and improved earnings.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1"/>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2"/>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3"/>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Q1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