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6"/>
            <wp:cNvGraphicFramePr/>
            <a:graphic>
              <a:graphicData uri="http://schemas.openxmlformats.org/drawingml/2006/picture">
                <pic:pic>
                  <pic:nvPicPr>
                    <pic:cNvPr id="9036" name="banner903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11.3839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786,993,394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786,993,394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784,656,365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591,142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2,604,319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812,409,638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7"/>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767,756,674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19,236,719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5" name="Picture 9050"/>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621,319,083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2024م *****</w:t>
            </w:r>
          </w:p>
        </w:tc>
        <w:tc>
          <w:tcPr>
            <w:tcW w:type="dxa" w:w="6860"/>
          </w:tcPr>
          <w:p>
            <w:pPr>
              <w:bidi w:val="1"/>
              <w:spacing w:before="0" w:after="0" w:line="276" w:lineRule="auto"/>
            </w:pPr>
            <w:r>
              <w:rPr>
                <w:rFonts w:ascii="Arial" w:hAnsi="Arial" w:cs="Arial" w:eastAsia="Arial"/>
                <w:b/>
                <w:bCs/>
                <w:color w:val="0E1E3A"/>
                <w:sz w:val="18"/>
                <w:szCs w:val="18"/>
                <w:rtl/>
              </w:rPr>
              <w:t>572,376,972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2024م ******</w:t>
            </w:r>
          </w:p>
        </w:tc>
        <w:tc>
          <w:tcPr>
            <w:tcW w:type="dxa" w:w="6860"/>
          </w:tcPr>
          <w:p>
            <w:pPr>
              <w:bidi w:val="1"/>
              <w:spacing w:before="0" w:after="0" w:line="276" w:lineRule="auto"/>
            </w:pPr>
            <w:r>
              <w:rPr>
                <w:rFonts w:ascii="Arial" w:hAnsi="Arial" w:cs="Arial" w:eastAsia="Arial"/>
                <w:b/>
                <w:bCs/>
                <w:color w:val="0E1E3A"/>
                <w:sz w:val="18"/>
                <w:szCs w:val="18"/>
                <w:rtl/>
              </w:rPr>
              <w:t>583,510,775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27 مارس 2025م *******</w:t>
            </w:r>
          </w:p>
        </w:tc>
        <w:tc>
          <w:tcPr>
            <w:tcW w:type="dxa" w:w="6860"/>
          </w:tcPr>
          <w:p>
            <w:pPr>
              <w:bidi w:val="1"/>
              <w:spacing w:before="0" w:after="0" w:line="276" w:lineRule="auto"/>
            </w:pPr>
            <w:r>
              <w:rPr>
                <w:rFonts w:ascii="Arial" w:hAnsi="Arial" w:cs="Arial" w:eastAsia="Arial"/>
                <w:b/>
                <w:bCs/>
                <w:color w:val="0E1E3A"/>
                <w:sz w:val="18"/>
                <w:szCs w:val="18"/>
                <w:rtl/>
              </w:rPr>
              <w:t>585,191,495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w:t>
      </w:r>
      <w:r>
        <w:br/>
      </w:r>
      <w:r>
        <w:rPr>
          <w:rFonts w:ascii="Arial" w:hAnsi="Arial" w:cs="Arial" w:eastAsia="Arial"/>
          <w:color w:val="5A6478"/>
          <w:sz w:val="17"/>
          <w:szCs w:val="17"/>
          <w:rtl/>
        </w:rPr>
        <w:t>سبتمبر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مارس 2024م.</w:t>
      </w:r>
      <w:r>
        <w:br/>
      </w:r>
      <w:r>
        <w:rPr>
          <w:rFonts w:ascii="Arial" w:hAnsi="Arial" w:cs="Arial" w:eastAsia="Arial"/>
          <w:color w:val="5A6478"/>
          <w:sz w:val="17"/>
          <w:szCs w:val="17"/>
          <w:rtl/>
        </w:rPr>
        <w:t>**** غير متضمنة الوحدات المعاد شراؤها من قبل الصندوق بغرض إلغائها، بعدد 29,475,700.00 كما في 30 يونيو 2024م.</w:t>
      </w:r>
      <w:r>
        <w:br/>
      </w:r>
      <w:r>
        <w:rPr>
          <w:rFonts w:ascii="Arial" w:hAnsi="Arial" w:cs="Arial" w:eastAsia="Arial"/>
          <w:color w:val="5A6478"/>
          <w:sz w:val="17"/>
          <w:szCs w:val="17"/>
          <w:rtl/>
        </w:rPr>
        <w:t>***** تم إلغاء الوحدات المعاد شراؤها من قبل الصندوق بغرض إلغائها بعدد 30,025,851 وحدة بتاريخ 25 يوليو 2024م.</w:t>
      </w:r>
      <w:r>
        <w:br/>
      </w:r>
      <w:r>
        <w:rPr>
          <w:rFonts w:ascii="Arial" w:hAnsi="Arial" w:cs="Arial" w:eastAsia="Arial"/>
          <w:color w:val="5A6478"/>
          <w:sz w:val="17"/>
          <w:szCs w:val="17"/>
          <w:rtl/>
        </w:rPr>
        <w:t>***** غير متضمنة الوحدات المعاد شراؤها من قبل الصندوق بغرض إلغائها، بعدد 257,100 كما في 30 سبتمبر 2024م.</w:t>
      </w:r>
      <w:r>
        <w:br/>
      </w:r>
      <w:r>
        <w:rPr>
          <w:rFonts w:ascii="Arial" w:hAnsi="Arial" w:cs="Arial" w:eastAsia="Arial"/>
          <w:color w:val="5A6478"/>
          <w:sz w:val="17"/>
          <w:szCs w:val="17"/>
          <w:rtl/>
        </w:rPr>
        <w:t>****** غير متضمنة الوحدات المعاد شراؤها من قبل الصندوق بغرض إلغائها، بعدد 755,789 وحدة كما في 31 ديسمبر 2024م.</w:t>
      </w:r>
      <w:r>
        <w:br/>
      </w:r>
      <w:r>
        <w:rPr>
          <w:rFonts w:ascii="Arial" w:hAnsi="Arial" w:cs="Arial" w:eastAsia="Arial"/>
          <w:color w:val="5A6478"/>
          <w:sz w:val="17"/>
          <w:szCs w:val="17"/>
          <w:rtl/>
        </w:rPr>
        <w:t>******* غير متضمنة الوحدات المعاد شراؤها من قبل الصندوق بغرض إلغائها، بعدد 1,047,000 وحدة كما في 27 مارس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(27 مارس 2025م)</w:t>
            </w:r>
          </w:p>
        </w:tc>
        <w:tc>
          <w:tcPr>
            <w:tcW w:type="dxa" w:w="6860"/>
          </w:tcPr>
          <w:p>
            <w:pPr>
              <w:bidi w:val="1"/>
              <w:spacing w:before="0" w:after="0" w:line="276" w:lineRule="auto"/>
            </w:pPr>
            <w:r>
              <w:rPr>
                <w:rFonts w:ascii="Arial" w:hAnsi="Arial" w:cs="Arial" w:eastAsia="Arial"/>
                <w:b/>
                <w:bCs/>
                <w:color w:val="0E1E3A"/>
                <w:sz w:val="18"/>
                <w:szCs w:val="18"/>
                <w:rtl/>
              </w:rPr>
              <w:t>8.49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إلى 31 ديسمبر 2024م إلى 27 مارس 2025م)</w:t>
            </w:r>
          </w:p>
        </w:tc>
        <w:tc>
          <w:tcPr>
            <w:tcW w:type="dxa" w:w="6860"/>
          </w:tcPr>
          <w:p>
            <w:pPr>
              <w:bidi w:val="1"/>
              <w:spacing w:before="0" w:after="0" w:line="276" w:lineRule="auto"/>
            </w:pPr>
            <w:r>
              <w:rPr>
                <w:rFonts w:ascii="Arial" w:hAnsi="Arial" w:cs="Arial" w:eastAsia="Arial"/>
                <w:b/>
                <w:bCs/>
                <w:color w:val="0E1E3A"/>
                <w:sz w:val="18"/>
                <w:szCs w:val="18"/>
              </w:rPr>
              <w:t>‎0.71%‎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2025م)</w:t>
            </w:r>
          </w:p>
        </w:tc>
        <w:tc>
          <w:tcPr>
            <w:tcW w:type="dxa" w:w="6860"/>
          </w:tcPr>
          <w:p>
            <w:pPr>
              <w:bidi w:val="1"/>
              <w:spacing w:before="0" w:after="0" w:line="276" w:lineRule="auto"/>
            </w:pPr>
            <w:r>
              <w:rPr>
                <w:rFonts w:ascii="Arial" w:hAnsi="Arial" w:cs="Arial" w:eastAsia="Arial"/>
                <w:b/>
                <w:bCs/>
                <w:color w:val="0E1E3A"/>
                <w:sz w:val="18"/>
                <w:szCs w:val="18"/>
              </w:rPr>
              <w:t>‎-15.10%‎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الأول 2025م)</w:t>
            </w:r>
          </w:p>
        </w:tc>
        <w:tc>
          <w:tcPr>
            <w:tcW w:type="dxa" w:w="6860"/>
          </w:tcPr>
          <w:p>
            <w:pPr>
              <w:bidi w:val="1"/>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31 مارس 2025م)*</w:t>
            </w:r>
          </w:p>
        </w:tc>
        <w:tc>
          <w:tcPr>
            <w:tcW w:type="dxa" w:w="6860"/>
          </w:tcPr>
          <w:p>
            <w:pPr>
              <w:bidi w:val="1"/>
              <w:spacing w:before="0" w:after="0" w:line="276" w:lineRule="auto"/>
            </w:pPr>
            <w:r>
              <w:rPr>
                <w:rFonts w:ascii="Arial" w:hAnsi="Arial" w:cs="Arial" w:eastAsia="Arial"/>
                <w:b/>
                <w:bCs/>
                <w:color w:val="0E1E3A"/>
                <w:sz w:val="18"/>
                <w:szCs w:val="18"/>
                <w:rtl/>
              </w:rPr>
              <w:t>68,927,149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 *</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نصف السنوية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 مالية المحققة وغير المحققة مرتين سنويا، حيث يقوم الصندوق بتوزيع الأرباح الرأس مالية (إن وجدت) المحققة وغير المحققة خلال 40 يوم عمل من تاريخ إصدار القوائم المالية نصف السنوية والسنوية، وسيتم الإع الن عن التوزيعات (إن وجدت) خلال عشرة أيام عمل من تاريخ إصدار القوائم المالية 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tl/>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2,277,200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7,388,173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-20,682,987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-273,021.83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(خسارة) للربع المعني</w:t>
            </w:r>
          </w:p>
        </w:tc>
        <w:tc>
          <w:tcPr>
            <w:tcW w:type="dxa" w:w="6860"/>
          </w:tcPr>
          <w:p>
            <w:pPr>
              <w:bidi w:val="1"/>
              <w:spacing w:before="0" w:after="0" w:line="276" w:lineRule="auto"/>
            </w:pPr>
            <w:r>
              <w:rPr>
                <w:rFonts w:ascii="Arial" w:hAnsi="Arial" w:cs="Arial" w:eastAsia="Arial"/>
                <w:b/>
                <w:bCs/>
                <w:color w:val="0E1E3A"/>
                <w:sz w:val="18"/>
                <w:szCs w:val="18"/>
                <w:rtl/>
              </w:rPr>
              <w:t>-11,290,636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 خل للربع المعني على سعر الوحدة كما في 31 مارس 2025م</w:t>
            </w:r>
          </w:p>
        </w:tc>
        <w:tc>
          <w:tcPr>
            <w:tcW w:type="dxa" w:w="6860"/>
          </w:tcPr>
          <w:p>
            <w:pPr>
              <w:bidi w:val="1"/>
              <w:spacing w:before="0" w:after="0" w:line="276" w:lineRule="auto"/>
            </w:pPr>
            <w:r>
              <w:rPr>
                <w:rFonts w:ascii="Arial" w:hAnsi="Arial" w:cs="Arial" w:eastAsia="Arial"/>
                <w:b/>
                <w:bCs/>
                <w:color w:val="0E1E3A"/>
                <w:sz w:val="18"/>
                <w:szCs w:val="18"/>
              </w:rPr>
              <w:t>‎-1.44%‎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سيتم تحديث سياسة توزيع الأرباح بعد الحصول على موافقة هيئة السوق المالية.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‎32.99%‎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19.31x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11.5726 رس.</w:t>
            </w:r>
          </w:p>
        </w:tc>
        <w:tc>
          <w:tcPr>
            <w:tcW w:type="dxa" w:w="3326"/>
          </w:tcPr>
          <w:p>
            <w:pPr>
              <w:bidi w:val="1"/>
              <w:spacing w:before="0" w:after="0" w:line="264" w:lineRule="auto"/>
            </w:pPr>
            <w:r>
              <w:rPr>
                <w:rFonts w:ascii="Arial" w:hAnsi="Arial" w:cs="Arial" w:eastAsia="Arial"/>
                <w:color w:val="0E1E3A"/>
                <w:sz w:val="17"/>
                <w:szCs w:val="17"/>
                <w:rtl/>
              </w:rPr>
              <w:t>118.7953</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11.3839 رس.</w:t>
            </w:r>
          </w:p>
        </w:tc>
        <w:tc>
          <w:tcPr>
            <w:tcW w:type="dxa" w:w="3326"/>
          </w:tcPr>
          <w:p>
            <w:pPr>
              <w:bidi w:val="1"/>
              <w:spacing w:before="0" w:after="0" w:line="264" w:lineRule="auto"/>
            </w:pPr>
            <w:r>
              <w:rPr>
                <w:rFonts w:ascii="Arial" w:hAnsi="Arial" w:cs="Arial" w:eastAsia="Arial"/>
                <w:color w:val="0E1E3A"/>
                <w:sz w:val="17"/>
                <w:szCs w:val="17"/>
                <w:rtl/>
              </w:rPr>
              <w:t>114.4903</w:t>
            </w:r>
          </w:p>
        </w:tc>
      </w:tr>
      <w:tr>
        <w:tc>
          <w:tcPr>
            <w:tcW w:type="dxa" w:w="3326"/>
          </w:tcPr>
          <w:p>
            <w:pPr>
              <w:bidi w:val="1"/>
              <w:spacing w:before="0" w:after="0" w:line="264" w:lineRule="auto"/>
            </w:pPr>
            <w:r>
              <w:rPr>
                <w:rFonts w:ascii="Arial" w:hAnsi="Arial" w:cs="Arial" w:eastAsia="Arial"/>
                <w:color w:val="0E1E3A"/>
                <w:sz w:val="17"/>
                <w:szCs w:val="17"/>
                <w:rtl/>
              </w:rPr>
              <w:t>أداء الوحدة *</w:t>
            </w:r>
          </w:p>
        </w:tc>
        <w:tc>
          <w:tcPr>
            <w:tcW w:type="dxa" w:w="3326"/>
          </w:tcPr>
          <w:p>
            <w:pPr>
              <w:bidi w:val="1"/>
              <w:spacing w:before="0" w:after="0" w:line="264" w:lineRule="auto"/>
            </w:pPr>
            <w:r>
              <w:rPr>
                <w:rFonts w:ascii="Arial" w:hAnsi="Arial" w:cs="Arial" w:eastAsia="Arial"/>
                <w:color w:val="0E1E3A"/>
                <w:sz w:val="17"/>
                <w:szCs w:val="17"/>
              </w:rPr>
              <w:t>‎-1.63%‎</w:t>
            </w:r>
          </w:p>
        </w:tc>
        <w:tc>
          <w:tcPr>
            <w:tcW w:type="dxa" w:w="3326"/>
          </w:tcPr>
          <w:p>
            <w:pPr>
              <w:bidi w:val="1"/>
              <w:spacing w:before="0" w:after="0" w:line="264" w:lineRule="auto"/>
            </w:pPr>
            <w:r>
              <w:rPr>
                <w:rFonts w:ascii="Arial" w:hAnsi="Arial" w:cs="Arial" w:eastAsia="Arial"/>
                <w:color w:val="0E1E3A"/>
                <w:sz w:val="17"/>
                <w:szCs w:val="17"/>
              </w:rPr>
              <w:t>‎-3.56%‎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أداء صافي قيمة الوحدة والتي لا تشمل توزيع الأرباح للفترة المحددة.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‎-1.63%‎</w:t>
            </w:r>
          </w:p>
        </w:tc>
        <w:tc>
          <w:tcPr>
            <w:tcW w:type="dxa" w:w="1663"/>
          </w:tcPr>
          <w:p>
            <w:pPr>
              <w:bidi w:val="1"/>
              <w:spacing w:before="0" w:after="0" w:line="264" w:lineRule="auto"/>
            </w:pPr>
            <w:r>
              <w:rPr>
                <w:rFonts w:ascii="Arial" w:hAnsi="Arial" w:cs="Arial" w:eastAsia="Arial"/>
                <w:color w:val="0E1E3A"/>
                <w:sz w:val="17"/>
                <w:szCs w:val="17"/>
              </w:rPr>
              <w:t>‎-1.63%‎</w:t>
            </w:r>
          </w:p>
        </w:tc>
        <w:tc>
          <w:tcPr>
            <w:tcW w:type="dxa" w:w="1663"/>
          </w:tcPr>
          <w:p>
            <w:pPr>
              <w:bidi w:val="1"/>
              <w:spacing w:before="0" w:after="0" w:line="264" w:lineRule="auto"/>
            </w:pPr>
            <w:r>
              <w:rPr>
                <w:rFonts w:ascii="Arial" w:hAnsi="Arial" w:cs="Arial" w:eastAsia="Arial"/>
                <w:color w:val="0E1E3A"/>
                <w:sz w:val="17"/>
                <w:szCs w:val="17"/>
              </w:rPr>
              <w:t>‎3.72%‎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‎-3.56%‎</w:t>
            </w:r>
          </w:p>
        </w:tc>
        <w:tc>
          <w:tcPr>
            <w:tcW w:type="dxa" w:w="1663"/>
          </w:tcPr>
          <w:p>
            <w:pPr>
              <w:bidi w:val="1"/>
              <w:spacing w:before="0" w:after="0" w:line="264" w:lineRule="auto"/>
            </w:pPr>
            <w:r>
              <w:rPr>
                <w:rFonts w:ascii="Arial" w:hAnsi="Arial" w:cs="Arial" w:eastAsia="Arial"/>
                <w:color w:val="0E1E3A"/>
                <w:sz w:val="17"/>
                <w:szCs w:val="17"/>
              </w:rPr>
              <w:t>‎-3.56%‎</w:t>
            </w:r>
          </w:p>
        </w:tc>
        <w:tc>
          <w:tcPr>
            <w:tcW w:type="dxa" w:w="1663"/>
          </w:tcPr>
          <w:p>
            <w:pPr>
              <w:bidi w:val="1"/>
              <w:spacing w:before="0" w:after="0" w:line="264" w:lineRule="auto"/>
            </w:pPr>
            <w:r>
              <w:rPr>
                <w:rFonts w:ascii="Arial" w:hAnsi="Arial" w:cs="Arial" w:eastAsia="Arial"/>
                <w:color w:val="0E1E3A"/>
                <w:sz w:val="17"/>
                <w:szCs w:val="17"/>
              </w:rPr>
              <w:t>‎0.47%‎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‎1.93%‎</w:t>
            </w:r>
          </w:p>
        </w:tc>
        <w:tc>
          <w:tcPr>
            <w:tcW w:type="dxa" w:w="1663"/>
          </w:tcPr>
          <w:p>
            <w:pPr>
              <w:bidi w:val="1"/>
              <w:spacing w:before="0" w:after="0" w:line="264" w:lineRule="auto"/>
            </w:pPr>
            <w:r>
              <w:rPr>
                <w:rFonts w:ascii="Arial" w:hAnsi="Arial" w:cs="Arial" w:eastAsia="Arial"/>
                <w:color w:val="0E1E3A"/>
                <w:sz w:val="17"/>
                <w:szCs w:val="17"/>
              </w:rPr>
              <w:t>‎1.93%‎</w:t>
            </w:r>
          </w:p>
        </w:tc>
        <w:tc>
          <w:tcPr>
            <w:tcW w:type="dxa" w:w="1663"/>
          </w:tcPr>
          <w:p>
            <w:pPr>
              <w:bidi w:val="1"/>
              <w:spacing w:before="0" w:after="0" w:line="264" w:lineRule="auto"/>
            </w:pPr>
            <w:r>
              <w:rPr>
                <w:rFonts w:ascii="Arial" w:hAnsi="Arial" w:cs="Arial" w:eastAsia="Arial"/>
                <w:color w:val="0E1E3A"/>
                <w:sz w:val="17"/>
                <w:szCs w:val="17"/>
              </w:rPr>
              <w:t>‎3.25%‎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 عن الفترة من 31 ديسمبر 2024م إلى 31 مارس 2025م.</w:t>
      </w:r>
      <w:r>
        <w:br/>
      </w:r>
      <w:r>
        <w:rPr>
          <w:rFonts w:ascii="Arial" w:hAnsi="Arial" w:cs="Arial" w:eastAsia="Arial"/>
          <w:color w:val="5A6478"/>
          <w:sz w:val="17"/>
          <w:szCs w:val="17"/>
          <w:rtl/>
        </w:rPr>
        <w:t>*** عن الفترة من 31 مارس 2024م إلى 31 مارس 2025م متضمنة توزيعات نقدية بقيمة 0.785 رس (0.185 +0.60)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13.83</w:t>
            </w:r>
          </w:p>
        </w:tc>
        <w:tc>
          <w:tcPr>
            <w:tcW w:type="dxa" w:w="1663"/>
          </w:tcPr>
          <w:p>
            <w:pPr>
              <w:bidi w:val="1"/>
              <w:spacing w:before="0" w:after="0" w:line="264" w:lineRule="auto"/>
            </w:pPr>
            <w:r>
              <w:rPr>
                <w:rFonts w:ascii="Arial" w:hAnsi="Arial" w:cs="Arial" w:eastAsia="Arial"/>
                <w:color w:val="0E1E3A"/>
                <w:sz w:val="17"/>
                <w:szCs w:val="17"/>
                <w:rtl/>
              </w:rPr>
              <w:t>13.83</w:t>
            </w:r>
          </w:p>
        </w:tc>
        <w:tc>
          <w:tcPr>
            <w:tcW w:type="dxa" w:w="1663"/>
          </w:tcPr>
          <w:p>
            <w:pPr>
              <w:bidi w:val="1"/>
              <w:spacing w:before="0" w:after="0" w:line="264" w:lineRule="auto"/>
            </w:pPr>
            <w:r>
              <w:rPr>
                <w:rFonts w:ascii="Arial" w:hAnsi="Arial" w:cs="Arial" w:eastAsia="Arial"/>
                <w:color w:val="0E1E3A"/>
                <w:sz w:val="17"/>
                <w:szCs w:val="17"/>
                <w:rtl/>
              </w:rPr>
              <w:t>13.92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-0.87</w:t>
            </w:r>
          </w:p>
        </w:tc>
        <w:tc>
          <w:tcPr>
            <w:tcW w:type="dxa" w:w="1663"/>
          </w:tcPr>
          <w:p>
            <w:pPr>
              <w:bidi w:val="1"/>
              <w:spacing w:before="0" w:after="0" w:line="264" w:lineRule="auto"/>
            </w:pPr>
            <w:r>
              <w:rPr>
                <w:rFonts w:ascii="Arial" w:hAnsi="Arial" w:cs="Arial" w:eastAsia="Arial"/>
                <w:color w:val="0E1E3A"/>
                <w:sz w:val="17"/>
                <w:szCs w:val="17"/>
                <w:rtl/>
              </w:rPr>
              <w:t>-0.87</w:t>
            </w:r>
          </w:p>
        </w:tc>
        <w:tc>
          <w:tcPr>
            <w:tcW w:type="dxa" w:w="1663"/>
          </w:tcPr>
          <w:p>
            <w:pPr>
              <w:bidi w:val="1"/>
              <w:spacing w:before="0" w:after="0" w:line="264" w:lineRule="auto"/>
            </w:pPr>
            <w:r>
              <w:rPr>
                <w:rFonts w:ascii="Arial" w:hAnsi="Arial" w:cs="Arial" w:eastAsia="Arial"/>
                <w:color w:val="0E1E3A"/>
                <w:sz w:val="17"/>
                <w:szCs w:val="17"/>
                <w:rtl/>
              </w:rPr>
              <w:t>-0.06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4.38</w:t>
            </w:r>
          </w:p>
        </w:tc>
        <w:tc>
          <w:tcPr>
            <w:tcW w:type="dxa" w:w="1663"/>
          </w:tcPr>
          <w:p>
            <w:pPr>
              <w:bidi w:val="1"/>
              <w:spacing w:before="0" w:after="0" w:line="264" w:lineRule="auto"/>
            </w:pPr>
            <w:r>
              <w:rPr>
                <w:rFonts w:ascii="Arial" w:hAnsi="Arial" w:cs="Arial" w:eastAsia="Arial"/>
                <w:color w:val="0E1E3A"/>
                <w:sz w:val="17"/>
                <w:szCs w:val="17"/>
                <w:rtl/>
              </w:rPr>
              <w:t>4.38</w:t>
            </w:r>
          </w:p>
        </w:tc>
        <w:tc>
          <w:tcPr>
            <w:tcW w:type="dxa" w:w="1663"/>
          </w:tcPr>
          <w:p>
            <w:pPr>
              <w:bidi w:val="1"/>
              <w:spacing w:before="0" w:after="0" w:line="264" w:lineRule="auto"/>
            </w:pPr>
            <w:r>
              <w:rPr>
                <w:rFonts w:ascii="Arial" w:hAnsi="Arial" w:cs="Arial" w:eastAsia="Arial"/>
                <w:color w:val="0E1E3A"/>
                <w:sz w:val="17"/>
                <w:szCs w:val="17"/>
                <w:rtl/>
              </w:rPr>
              <w:t>8.38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0.89</w:t>
            </w:r>
          </w:p>
        </w:tc>
        <w:tc>
          <w:tcPr>
            <w:tcW w:type="dxa" w:w="1663"/>
          </w:tcPr>
          <w:p>
            <w:pPr>
              <w:bidi w:val="1"/>
              <w:spacing w:before="0" w:after="0" w:line="264" w:lineRule="auto"/>
            </w:pPr>
            <w:r>
              <w:rPr>
                <w:rFonts w:ascii="Arial" w:hAnsi="Arial" w:cs="Arial" w:eastAsia="Arial"/>
                <w:color w:val="0E1E3A"/>
                <w:sz w:val="17"/>
                <w:szCs w:val="17"/>
                <w:rtl/>
              </w:rPr>
              <w:t>0.89</w:t>
            </w:r>
          </w:p>
        </w:tc>
        <w:tc>
          <w:tcPr>
            <w:tcW w:type="dxa" w:w="1663"/>
          </w:tcPr>
          <w:p>
            <w:pPr>
              <w:bidi w:val="1"/>
              <w:spacing w:before="0" w:after="0" w:line="264" w:lineRule="auto"/>
            </w:pPr>
            <w:r>
              <w:rPr>
                <w:rFonts w:ascii="Arial" w:hAnsi="Arial" w:cs="Arial" w:eastAsia="Arial"/>
                <w:color w:val="0E1E3A"/>
                <w:sz w:val="17"/>
                <w:szCs w:val="17"/>
                <w:rtl/>
              </w:rPr>
              <w:t>0.91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0.08</w:t>
            </w:r>
          </w:p>
        </w:tc>
        <w:tc>
          <w:tcPr>
            <w:tcW w:type="dxa" w:w="1663"/>
          </w:tcPr>
          <w:p>
            <w:pPr>
              <w:bidi w:val="1"/>
              <w:spacing w:before="0" w:after="0" w:line="264" w:lineRule="auto"/>
            </w:pPr>
            <w:r>
              <w:rPr>
                <w:rFonts w:ascii="Arial" w:hAnsi="Arial" w:cs="Arial" w:eastAsia="Arial"/>
                <w:color w:val="0E1E3A"/>
                <w:sz w:val="17"/>
                <w:szCs w:val="17"/>
                <w:rtl/>
              </w:rPr>
              <w:t>0.08</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1.81</w:t>
            </w:r>
          </w:p>
        </w:tc>
        <w:tc>
          <w:tcPr>
            <w:tcW w:type="dxa" w:w="1663"/>
          </w:tcPr>
          <w:p>
            <w:pPr>
              <w:bidi w:val="1"/>
              <w:spacing w:before="0" w:after="0" w:line="264" w:lineRule="auto"/>
            </w:pPr>
            <w:r>
              <w:rPr>
                <w:rFonts w:ascii="Arial" w:hAnsi="Arial" w:cs="Arial" w:eastAsia="Arial"/>
                <w:color w:val="0E1E3A"/>
                <w:sz w:val="17"/>
                <w:szCs w:val="17"/>
                <w:rtl/>
              </w:rPr>
              <w:t>1.81</w:t>
            </w:r>
          </w:p>
        </w:tc>
        <w:tc>
          <w:tcPr>
            <w:tcW w:type="dxa" w:w="1663"/>
          </w:tcPr>
          <w:p>
            <w:pPr>
              <w:bidi w:val="1"/>
              <w:spacing w:before="0" w:after="0" w:line="264" w:lineRule="auto"/>
            </w:pPr>
            <w:r>
              <w:rPr>
                <w:rFonts w:ascii="Arial" w:hAnsi="Arial" w:cs="Arial" w:eastAsia="Arial"/>
                <w:color w:val="0E1E3A"/>
                <w:sz w:val="17"/>
                <w:szCs w:val="17"/>
                <w:rtl/>
              </w:rPr>
              <w:t>0.41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60"/>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اعتبارًا من 29 أغسطس 2024، وافق حاملو الوحدات على إعادة شراء ما يصل إلى 20 مليون وحدة، أو </w:t>
      </w:r>
      <w:r>
        <w:rPr>
          <w:rFonts w:ascii="Arial" w:hAnsi="Arial" w:cs="Arial" w:eastAsia="Arial"/>
          <w:color w:val="0E1E3A"/>
          <w:sz w:val="20"/>
          <w:szCs w:val="20"/>
        </w:rPr>
        <w:t>‎20%‎</w:t>
      </w:r>
      <w:r>
        <w:rPr>
          <w:rFonts w:ascii="Arial" w:hAnsi="Arial" w:cs="Arial" w:eastAsia="Arial"/>
          <w:color w:val="0E1E3A"/>
          <w:sz w:val="20"/>
          <w:szCs w:val="20"/>
          <w:rtl/>
        </w:rPr>
        <w:t xml:space="preserve"> من إجمالي عدد وحدات الصندوق عند الطرح، وذلك خلال فترة 12 شهرًا. كما وافق حاملو الوحدات على تعديل سياسة توزيع الأرباح ومنح مدير الصندوق الحق في تعيين صانع 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 xml:space="preserve">شهدت أسواق الأسهم العالمية تقلبات عالية في الربع الأول من عام 2025، بسبب احتمالية فرض الولايات المتحدة رسوم جمركية شاملة على الدول المصدرة الكبرى بالإضافة الى كما زادت التوترات الجيوسياسية وضغوط التضخم المستمرة والمخاوف حول النمو العالمي من تأثيرها على معنويات المستثمرين. نتيجة لذلك، انخفض مؤشر الخبير للأسهم العالمية بنسبة </w:t>
      </w:r>
      <w:r>
        <w:rPr>
          <w:rFonts w:ascii="Arial" w:hAnsi="Arial" w:cs="Arial" w:eastAsia="Arial"/>
          <w:color w:val="0E1E3A"/>
          <w:sz w:val="20"/>
          <w:szCs w:val="20"/>
        </w:rPr>
        <w:t>‎-1.94%‎</w:t>
      </w:r>
      <w:r>
        <w:rPr>
          <w:rFonts w:ascii="Arial" w:hAnsi="Arial" w:cs="Arial" w:eastAsia="Arial"/>
          <w:color w:val="0E1E3A"/>
          <w:sz w:val="20"/>
          <w:szCs w:val="20"/>
          <w:rtl/>
        </w:rPr>
        <w:t xml:space="preserve"> خلال الربع.</w:t>
      </w:r>
    </w:p>
    <w:p>
      <w:pPr>
        <w:bidi w:val="1"/>
        <w:spacing w:before="0" w:after="80" w:line="312" w:lineRule="auto"/>
      </w:pPr>
      <w:r>
        <w:rPr>
          <w:rFonts w:ascii="Arial" w:hAnsi="Arial" w:cs="Arial" w:eastAsia="Arial"/>
          <w:color w:val="0E1E3A"/>
          <w:sz w:val="20"/>
          <w:szCs w:val="20"/>
          <w:rtl/>
        </w:rPr>
        <w:t>رغم التحديات التي واجهت الأسواق، ظلت البيانات الاقتصادية الأساسية قوية. استمر سوق العمل الأمريكي في إظهار قوته، وظلت إنفاقات المستهلكين مستقرة. بينما انخفض التضخم، مما سمح للاحتياطي الفيدرالي بالحفاظ على أسعار الفائدة ثابتة، مع الحفاظ على نهج يعتمد على البيانات في اتخاذ قرارات السياسة المستقبلية. تدريجيا، تحولت توقعات السوق نحو سياسة نقدية أكثر تساهلا في النصف الثاني من عام 2025، مما ساعد في استقرار المعنويات بنهاية الربع.</w:t>
      </w:r>
    </w:p>
    <w:p>
      <w:pPr>
        <w:bidi w:val="1"/>
        <w:spacing w:before="0" w:after="80" w:line="312" w:lineRule="auto"/>
      </w:pPr>
      <w:r>
        <w:rPr>
          <w:rFonts w:ascii="Arial" w:hAnsi="Arial" w:cs="Arial" w:eastAsia="Arial"/>
          <w:color w:val="0E1E3A"/>
          <w:sz w:val="20"/>
          <w:szCs w:val="20"/>
          <w:rtl/>
        </w:rPr>
        <w:t>وبالنظر إلى المستقبل، من المتوقع أن يتشكل ما تبقى من عام 2025 من خلال توازن دقيق بين محاولة موازنة التقلبات الناجمة عن عدم اليقين في السياسة التجارية، والتطورات الجيوسياسية المستمرة، وإجراءات البنوك المركزية.</w:t>
      </w:r>
    </w:p>
    <w:p>
      <w:pPr>
        <w:bidi w:val="1"/>
        <w:spacing w:before="0" w:after="80" w:line="312" w:lineRule="auto"/>
      </w:pPr>
      <w:r>
        <w:rPr>
          <w:rFonts w:ascii="Arial" w:hAnsi="Arial" w:cs="Arial" w:eastAsia="Arial"/>
          <w:color w:val="0E1E3A"/>
          <w:sz w:val="20"/>
          <w:szCs w:val="20"/>
          <w:rtl/>
        </w:rPr>
        <w:t xml:space="preserve">وفقا لأحدث تقرير صادر عن صندوق النقد الدولي حول آفاق الاقتصاد العالمي، من المتوقع أن ينمو الناتج المحلي الإجمالي العالمي بنسبة </w:t>
      </w:r>
      <w:r>
        <w:rPr>
          <w:rFonts w:ascii="Arial" w:hAnsi="Arial" w:cs="Arial" w:eastAsia="Arial"/>
          <w:color w:val="0E1E3A"/>
          <w:sz w:val="20"/>
          <w:szCs w:val="20"/>
        </w:rPr>
        <w:t>‎3.3%‎</w:t>
      </w:r>
      <w:r>
        <w:rPr>
          <w:rFonts w:ascii="Arial" w:hAnsi="Arial" w:cs="Arial" w:eastAsia="Arial"/>
          <w:color w:val="0E1E3A"/>
          <w:sz w:val="20"/>
          <w:szCs w:val="20"/>
          <w:rtl/>
        </w:rPr>
        <w:t xml:space="preserve"> في عام 2025، مع توقعات بنمو الأسواق المتقدمة بنسبة </w:t>
      </w:r>
      <w:r>
        <w:rPr>
          <w:rFonts w:ascii="Arial" w:hAnsi="Arial" w:cs="Arial" w:eastAsia="Arial"/>
          <w:color w:val="0E1E3A"/>
          <w:sz w:val="20"/>
          <w:szCs w:val="20"/>
        </w:rPr>
        <w:t>‎1.9%‎</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‎4.2%‎</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3"/>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27 مارس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4"/>
            <wp:cNvGraphicFramePr>
              <a:graphicFrameLocks noChangeAspect="1"/>
            </wp:cNvGraphicFramePr>
            <a:graphic>
              <a:graphicData uri="http://schemas.openxmlformats.org/drawingml/2006/picture">
                <pic:pic>
                  <pic:nvPicPr>
                    <pic:cNvPr id="0" name="ico_8eba3796ad497c7a142d47da7c90fea0.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5"/>
            <wp:cNvGraphicFramePr>
              <a:graphicFrameLocks noChangeAspect="1"/>
            </wp:cNvGraphicFramePr>
            <a:graphic>
              <a:graphicData uri="http://schemas.openxmlformats.org/drawingml/2006/picture">
                <pic:pic>
                  <pic:nvPicPr>
                    <pic:cNvPr id="0" name="ico_31799530e5dd3dc5b4ca7f2d37945432.png"/>
                    <pic:cNvPicPr/>
                  </pic:nvPicPr>
                  <pic:blipFill>
                    <a:blip r:embed="rId2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الأول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