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6"/>
            <wp:cNvGraphicFramePr/>
            <a:graphic>
              <a:graphicData uri="http://schemas.openxmlformats.org/drawingml/2006/picture">
                <pic:pic>
                  <pic:nvPicPr>
                    <pic:cNvPr id="9036" name="banner903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11.3839</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786,993,394</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4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786,993,394</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784,656,365</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591,142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2,604,319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2025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812,409,638.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54270"/>
            <wp:docPr id="12" name="Picture 9047"/>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767,756,674</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19,236,719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5" name="Picture 9050"/>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 (27 APRIL 2022)</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633,808,698</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642,402,714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621,319,083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572,376,972</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583,510,775</w:t>
            </w:r>
          </w:p>
        </w:tc>
      </w:tr>
      <w:tr>
        <w:tc>
          <w:tcPr>
            <w:tcW w:type="dxa" w:w="3118"/>
            <w:shd w:val="clear" w:color="auto" w:fill="F3F6FB"/>
          </w:tcPr>
          <w:p>
            <w:pPr>
              <w:spacing w:before="0" w:after="0" w:line="276" w:lineRule="auto"/>
            </w:pPr>
            <w:r>
              <w:rPr>
                <w:rFonts w:ascii="Arial" w:hAnsi="Arial" w:cs="Arial" w:eastAsia="Arial"/>
                <w:color w:val="5A6478"/>
                <w:sz w:val="18"/>
                <w:szCs w:val="18"/>
              </w:rPr>
              <w:t>AS AT 27 MARCH 2025*******</w:t>
            </w:r>
          </w:p>
        </w:tc>
        <w:tc>
          <w:tcPr>
            <w:tcW w:type="dxa" w:w="6860"/>
          </w:tcPr>
          <w:p>
            <w:pPr>
              <w:spacing w:before="0" w:after="0" w:line="276" w:lineRule="auto"/>
            </w:pPr>
            <w:r>
              <w:rPr>
                <w:rFonts w:ascii="Arial" w:hAnsi="Arial" w:cs="Arial" w:eastAsia="Arial"/>
                <w:b/>
                <w:bCs/>
                <w:color w:val="0E1E3A"/>
                <w:sz w:val="18"/>
                <w:szCs w:val="18"/>
              </w:rPr>
              <w:t>SAR 585,191,495</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r>
        <w:br/>
      </w:r>
      <w:r>
        <w:rPr>
          <w:rFonts w:ascii="Arial" w:hAnsi="Arial" w:cs="Arial" w:eastAsia="Arial"/>
          <w:color w:val="5A6478"/>
          <w:sz w:val="17"/>
          <w:szCs w:val="17"/>
        </w:rPr>
        <w:t>*** Excluding Units bought back by the Fund for cancellation (28,383,198 Units) as at 31 March 2024.</w:t>
      </w:r>
      <w:r>
        <w:br/>
      </w:r>
      <w:r>
        <w:rPr>
          <w:rFonts w:ascii="Arial" w:hAnsi="Arial" w:cs="Arial" w:eastAsia="Arial"/>
          <w:color w:val="5A6478"/>
          <w:sz w:val="17"/>
          <w:szCs w:val="17"/>
        </w:rPr>
        <w:t>**** Excluding Units bought back by the Fund for cancellation (29,475,700.00 Units) as at 30 June 2024.</w:t>
      </w:r>
      <w:r>
        <w:br/>
      </w:r>
      <w:r>
        <w:rPr>
          <w:rFonts w:ascii="Arial" w:hAnsi="Arial" w:cs="Arial" w:eastAsia="Arial"/>
          <w:color w:val="5A6478"/>
          <w:sz w:val="17"/>
          <w:szCs w:val="17"/>
        </w:rPr>
        <w:t>***** Units bought back by the Fund for cancellation (30,025,851 Units) were cancelled on 25 July 2024.</w:t>
      </w:r>
      <w:r>
        <w:br/>
      </w:r>
      <w:r>
        <w:rPr>
          <w:rFonts w:ascii="Arial" w:hAnsi="Arial" w:cs="Arial" w:eastAsia="Arial"/>
          <w:color w:val="5A6478"/>
          <w:sz w:val="17"/>
          <w:szCs w:val="17"/>
        </w:rPr>
        <w:t>***** Excluding Units bought back by the Fund for cancellation (257,100 Units) as at 30 September 2024</w:t>
      </w:r>
      <w:r>
        <w:br/>
      </w:r>
      <w:r>
        <w:rPr>
          <w:rFonts w:ascii="Arial" w:hAnsi="Arial" w:cs="Arial" w:eastAsia="Arial"/>
          <w:color w:val="5A6478"/>
          <w:sz w:val="17"/>
          <w:szCs w:val="17"/>
        </w:rPr>
        <w:t>****** Excluding Units bought back by the Fund for cancellation (755,789 Units) as at 31 December 2024.</w:t>
      </w:r>
      <w:r>
        <w:br/>
      </w:r>
      <w:r>
        <w:rPr>
          <w:rFonts w:ascii="Arial" w:hAnsi="Arial" w:cs="Arial" w:eastAsia="Arial"/>
          <w:color w:val="5A6478"/>
          <w:sz w:val="17"/>
          <w:szCs w:val="17"/>
        </w:rPr>
        <w:t>******* Excluding Units bought back by the Fund for cancellation (1,047,000 Units) as at 27 March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(27 MARCH 2025)</w:t>
            </w:r>
          </w:p>
        </w:tc>
        <w:tc>
          <w:tcPr>
            <w:tcW w:type="dxa" w:w="6860"/>
          </w:tcPr>
          <w:p>
            <w:pPr>
              <w:spacing w:before="0" w:after="0" w:line="276" w:lineRule="auto"/>
            </w:pPr>
            <w:r>
              <w:rPr>
                <w:rFonts w:ascii="Arial" w:hAnsi="Arial" w:cs="Arial" w:eastAsia="Arial"/>
                <w:b/>
                <w:bCs/>
                <w:color w:val="0E1E3A"/>
                <w:sz w:val="18"/>
                <w:szCs w:val="18"/>
              </w:rPr>
              <w:t>SAR 8.49</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(31 DECEMBER 2024 TO 27 MARCH 2025)</w:t>
            </w:r>
          </w:p>
        </w:tc>
        <w:tc>
          <w:tcPr>
            <w:tcW w:type="dxa" w:w="6860"/>
          </w:tcPr>
          <w:p>
            <w:pPr>
              <w:spacing w:before="0" w:after="0" w:line="276" w:lineRule="auto"/>
            </w:pPr>
            <w:r>
              <w:rPr>
                <w:rFonts w:ascii="Arial" w:hAnsi="Arial" w:cs="Arial" w:eastAsia="Arial"/>
                <w:b/>
                <w:bCs/>
                <w:color w:val="0E1E3A"/>
                <w:sz w:val="18"/>
                <w:szCs w:val="18"/>
              </w:rPr>
              <w:t>0.71%</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2025)</w:t>
            </w:r>
          </w:p>
        </w:tc>
        <w:tc>
          <w:tcPr>
            <w:tcW w:type="dxa" w:w="6860"/>
          </w:tcPr>
          <w:p>
            <w:pPr>
              <w:spacing w:before="0" w:after="0" w:line="276" w:lineRule="auto"/>
            </w:pPr>
            <w:r>
              <w:rPr>
                <w:rFonts w:ascii="Arial" w:hAnsi="Arial" w:cs="Arial" w:eastAsia="Arial"/>
                <w:b/>
                <w:bCs/>
                <w:color w:val="0E1E3A"/>
                <w:sz w:val="18"/>
                <w:szCs w:val="18"/>
              </w:rPr>
              <w:t>-15.10%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Q1 2025)</w:t>
            </w:r>
          </w:p>
        </w:tc>
        <w:tc>
          <w:tcPr>
            <w:tcW w:type="dxa" w:w="6860"/>
          </w:tcPr>
          <w:p>
            <w:pPr>
              <w:spacing w:before="0" w:after="0" w:line="276" w:lineRule="auto"/>
            </w:pPr>
            <w:r>
              <w:rPr>
                <w:rFonts w:ascii="Arial" w:hAnsi="Arial" w:cs="Arial" w:eastAsia="Arial"/>
                <w:b/>
                <w:bCs/>
                <w:color w:val="0E1E3A"/>
                <w:sz w:val="18"/>
                <w:szCs w:val="18"/>
              </w:rPr>
              <w:t>3.59%</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9.38</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31 MARCH 2025) *</w:t>
            </w:r>
          </w:p>
        </w:tc>
        <w:tc>
          <w:tcPr>
            <w:tcW w:type="dxa" w:w="6860"/>
          </w:tcPr>
          <w:p>
            <w:pPr>
              <w:spacing w:before="0" w:after="0" w:line="276" w:lineRule="auto"/>
            </w:pPr>
            <w:r>
              <w:rPr>
                <w:rFonts w:ascii="Arial" w:hAnsi="Arial" w:cs="Arial" w:eastAsia="Arial"/>
                <w:b/>
                <w:bCs/>
                <w:color w:val="0E1E3A"/>
                <w:sz w:val="18"/>
                <w:szCs w:val="18"/>
              </w:rPr>
              <w:t>68,927,149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3"/>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2,277,200</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7,388,173</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LOSS ON THE FUND'S INVESTMENTS</w:t>
            </w:r>
          </w:p>
        </w:tc>
        <w:tc>
          <w:tcPr>
            <w:tcW w:type="dxa" w:w="6860"/>
          </w:tcPr>
          <w:p>
            <w:pPr>
              <w:spacing w:before="0" w:after="0" w:line="276" w:lineRule="auto"/>
            </w:pPr>
            <w:r>
              <w:rPr>
                <w:rFonts w:ascii="Arial" w:hAnsi="Arial" w:cs="Arial" w:eastAsia="Arial"/>
                <w:b/>
                <w:bCs/>
                <w:color w:val="0E1E3A"/>
                <w:sz w:val="18"/>
                <w:szCs w:val="18"/>
              </w:rPr>
              <w:t>SAR -20,682,987</w:t>
            </w:r>
          </w:p>
        </w:tc>
      </w:tr>
      <w:tr>
        <w:tc>
          <w:tcPr>
            <w:tcW w:type="dxa" w:w="3118"/>
            <w:shd w:val="clear" w:color="auto" w:fill="F3F6FB"/>
          </w:tcPr>
          <w:p>
            <w:pPr>
              <w:spacing w:before="0" w:after="0" w:line="276" w:lineRule="auto"/>
            </w:pPr>
            <w:r>
              <w:rPr>
                <w:rFonts w:ascii="Arial" w:hAnsi="Arial" w:cs="Arial" w:eastAsia="Arial"/>
                <w:color w:val="5A6478"/>
                <w:sz w:val="18"/>
                <w:szCs w:val="18"/>
              </w:rPr>
              <w:t>LOSS FROM FOREIGN CURRENCY RATE DIFFERENCES</w:t>
            </w:r>
          </w:p>
        </w:tc>
        <w:tc>
          <w:tcPr>
            <w:tcW w:type="dxa" w:w="6860"/>
          </w:tcPr>
          <w:p>
            <w:pPr>
              <w:spacing w:before="0" w:after="0" w:line="276" w:lineRule="auto"/>
            </w:pPr>
            <w:r>
              <w:rPr>
                <w:rFonts w:ascii="Arial" w:hAnsi="Arial" w:cs="Arial" w:eastAsia="Arial"/>
                <w:b/>
                <w:bCs/>
                <w:color w:val="0E1E3A"/>
                <w:sz w:val="18"/>
                <w:szCs w:val="18"/>
              </w:rPr>
              <w:t>SAR -273,021.83</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(LOSS) FOR THE REPORTING QUARTER</w:t>
            </w:r>
          </w:p>
        </w:tc>
        <w:tc>
          <w:tcPr>
            <w:tcW w:type="dxa" w:w="6860"/>
          </w:tcPr>
          <w:p>
            <w:pPr>
              <w:spacing w:before="0" w:after="0" w:line="276" w:lineRule="auto"/>
            </w:pPr>
            <w:r>
              <w:rPr>
                <w:rFonts w:ascii="Arial" w:hAnsi="Arial" w:cs="Arial" w:eastAsia="Arial"/>
                <w:b/>
                <w:bCs/>
                <w:color w:val="0E1E3A"/>
                <w:sz w:val="18"/>
                <w:szCs w:val="18"/>
              </w:rPr>
              <w:t>SAR -11,290,636</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31 MARCH 2025</w:t>
            </w:r>
          </w:p>
        </w:tc>
        <w:tc>
          <w:tcPr>
            <w:tcW w:type="dxa" w:w="6860"/>
          </w:tcPr>
          <w:p>
            <w:pPr>
              <w:spacing w:before="0" w:after="0" w:line="276" w:lineRule="auto"/>
            </w:pPr>
            <w:r>
              <w:rPr>
                <w:rFonts w:ascii="Arial" w:hAnsi="Arial" w:cs="Arial" w:eastAsia="Arial"/>
                <w:b/>
                <w:bCs/>
                <w:color w:val="0E1E3A"/>
                <w:sz w:val="18"/>
                <w:szCs w:val="18"/>
              </w:rPr>
              <w:t>-1.44%</w:t>
            </w:r>
          </w:p>
        </w:tc>
      </w:tr>
    </w:tbl>
    <w:p>
      <w:pPr>
        <w:spacing w:before="0" w:after="40" w:line="300" w:lineRule="auto"/>
      </w:pPr>
    </w:p>
    <w:p>
      <w:pPr>
        <w:spacing w:before="0" w:after="80" w:line="312" w:lineRule="auto"/>
      </w:pPr>
      <w:r>
        <w:rPr>
          <w:rFonts w:ascii="Arial" w:hAnsi="Arial" w:cs="Arial" w:eastAsia="Arial"/>
          <w:color w:val="5A6478"/>
          <w:sz w:val="17"/>
          <w:szCs w:val="17"/>
        </w:rPr>
        <w:t>* The dividend distribution policy will be updated after obtaining CMA’s approval.</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32.99%</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19.31x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11.5726</w:t>
            </w:r>
          </w:p>
        </w:tc>
        <w:tc>
          <w:tcPr>
            <w:tcW w:type="dxa" w:w="3326"/>
          </w:tcPr>
          <w:p>
            <w:pPr>
              <w:spacing w:before="0" w:after="0" w:line="264" w:lineRule="auto"/>
            </w:pPr>
            <w:r>
              <w:rPr>
                <w:rFonts w:ascii="Arial" w:hAnsi="Arial" w:cs="Arial" w:eastAsia="Arial"/>
                <w:color w:val="0E1E3A"/>
                <w:sz w:val="17"/>
                <w:szCs w:val="17"/>
              </w:rPr>
              <w:t>118.7953</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11.3839</w:t>
            </w:r>
          </w:p>
        </w:tc>
        <w:tc>
          <w:tcPr>
            <w:tcW w:type="dxa" w:w="3326"/>
          </w:tcPr>
          <w:p>
            <w:pPr>
              <w:spacing w:before="0" w:after="0" w:line="264" w:lineRule="auto"/>
            </w:pPr>
            <w:r>
              <w:rPr>
                <w:rFonts w:ascii="Arial" w:hAnsi="Arial" w:cs="Arial" w:eastAsia="Arial"/>
                <w:color w:val="0E1E3A"/>
                <w:sz w:val="17"/>
                <w:szCs w:val="17"/>
              </w:rPr>
              <w:t>114.4903</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-1.63%</w:t>
            </w:r>
          </w:p>
        </w:tc>
        <w:tc>
          <w:tcPr>
            <w:tcW w:type="dxa" w:w="3326"/>
          </w:tcPr>
          <w:p>
            <w:pPr>
              <w:spacing w:before="0" w:after="0" w:line="264" w:lineRule="auto"/>
            </w:pPr>
            <w:r>
              <w:rPr>
                <w:rFonts w:ascii="Arial" w:hAnsi="Arial" w:cs="Arial" w:eastAsia="Arial"/>
                <w:color w:val="0E1E3A"/>
                <w:sz w:val="17"/>
                <w:szCs w:val="17"/>
              </w:rPr>
              <w:t>-3.56%</w:t>
            </w:r>
          </w:p>
        </w:tc>
      </w:tr>
    </w:tbl>
    <w:p>
      <w:pPr>
        <w:spacing w:before="0" w:after="40" w:line="300" w:lineRule="auto"/>
      </w:pPr>
    </w:p>
    <w:p>
      <w:pPr>
        <w:spacing w:before="0" w:after="80" w:line="312" w:lineRule="auto"/>
      </w:pPr>
      <w:r>
        <w:rPr>
          <w:rFonts w:ascii="Arial" w:hAnsi="Arial" w:cs="Arial" w:eastAsia="Arial"/>
          <w:color w:val="5A6478"/>
          <w:sz w:val="17"/>
          <w:szCs w:val="17"/>
        </w:rPr>
        <w:t>*NAV/Unit excluding dividend distributions for the specified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-1.63%</w:t>
            </w:r>
          </w:p>
        </w:tc>
        <w:tc>
          <w:tcPr>
            <w:tcW w:type="dxa" w:w="1663"/>
          </w:tcPr>
          <w:p>
            <w:pPr>
              <w:spacing w:before="0" w:after="0" w:line="264" w:lineRule="auto"/>
            </w:pPr>
            <w:r>
              <w:rPr>
                <w:rFonts w:ascii="Arial" w:hAnsi="Arial" w:cs="Arial" w:eastAsia="Arial"/>
                <w:color w:val="0E1E3A"/>
                <w:sz w:val="17"/>
                <w:szCs w:val="17"/>
              </w:rPr>
              <w:t>-1.63%</w:t>
            </w:r>
          </w:p>
        </w:tc>
        <w:tc>
          <w:tcPr>
            <w:tcW w:type="dxa" w:w="1663"/>
          </w:tcPr>
          <w:p>
            <w:pPr>
              <w:spacing w:before="0" w:after="0" w:line="264" w:lineRule="auto"/>
            </w:pPr>
            <w:r>
              <w:rPr>
                <w:rFonts w:ascii="Arial" w:hAnsi="Arial" w:cs="Arial" w:eastAsia="Arial"/>
                <w:color w:val="0E1E3A"/>
                <w:sz w:val="17"/>
                <w:szCs w:val="17"/>
              </w:rPr>
              <w:t>3.72%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-3.56%</w:t>
            </w:r>
          </w:p>
        </w:tc>
        <w:tc>
          <w:tcPr>
            <w:tcW w:type="dxa" w:w="1663"/>
          </w:tcPr>
          <w:p>
            <w:pPr>
              <w:spacing w:before="0" w:after="0" w:line="264" w:lineRule="auto"/>
            </w:pPr>
            <w:r>
              <w:rPr>
                <w:rFonts w:ascii="Arial" w:hAnsi="Arial" w:cs="Arial" w:eastAsia="Arial"/>
                <w:color w:val="0E1E3A"/>
                <w:sz w:val="17"/>
                <w:szCs w:val="17"/>
              </w:rPr>
              <w:t>-3.56%</w:t>
            </w:r>
          </w:p>
        </w:tc>
        <w:tc>
          <w:tcPr>
            <w:tcW w:type="dxa" w:w="1663"/>
          </w:tcPr>
          <w:p>
            <w:pPr>
              <w:spacing w:before="0" w:after="0" w:line="264" w:lineRule="auto"/>
            </w:pPr>
            <w:r>
              <w:rPr>
                <w:rFonts w:ascii="Arial" w:hAnsi="Arial" w:cs="Arial" w:eastAsia="Arial"/>
                <w:color w:val="0E1E3A"/>
                <w:sz w:val="17"/>
                <w:szCs w:val="17"/>
              </w:rPr>
              <w:t>0.47%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1.93%</w:t>
            </w:r>
          </w:p>
        </w:tc>
        <w:tc>
          <w:tcPr>
            <w:tcW w:type="dxa" w:w="1663"/>
          </w:tcPr>
          <w:p>
            <w:pPr>
              <w:spacing w:before="0" w:after="0" w:line="264" w:lineRule="auto"/>
            </w:pPr>
            <w:r>
              <w:rPr>
                <w:rFonts w:ascii="Arial" w:hAnsi="Arial" w:cs="Arial" w:eastAsia="Arial"/>
                <w:color w:val="0E1E3A"/>
                <w:sz w:val="17"/>
                <w:szCs w:val="17"/>
              </w:rPr>
              <w:t>1.93%</w:t>
            </w:r>
          </w:p>
        </w:tc>
        <w:tc>
          <w:tcPr>
            <w:tcW w:type="dxa" w:w="1663"/>
          </w:tcPr>
          <w:p>
            <w:pPr>
              <w:spacing w:before="0" w:after="0" w:line="264" w:lineRule="auto"/>
            </w:pPr>
            <w:r>
              <w:rPr>
                <w:rFonts w:ascii="Arial" w:hAnsi="Arial" w:cs="Arial" w:eastAsia="Arial"/>
                <w:color w:val="0E1E3A"/>
                <w:sz w:val="17"/>
                <w:szCs w:val="17"/>
              </w:rPr>
              <w:t>3.25%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w:t>
      </w:r>
      <w:r>
        <w:br/>
      </w:r>
      <w:r>
        <w:rPr>
          <w:rFonts w:ascii="Arial" w:hAnsi="Arial" w:cs="Arial" w:eastAsia="Arial"/>
          <w:color w:val="5A6478"/>
          <w:sz w:val="17"/>
          <w:szCs w:val="17"/>
        </w:rPr>
        <w:t>** For the period from 31 December 2024 to 31 March 2025.</w:t>
      </w:r>
      <w:r>
        <w:br/>
      </w:r>
      <w:r>
        <w:rPr>
          <w:rFonts w:ascii="Arial" w:hAnsi="Arial" w:cs="Arial" w:eastAsia="Arial"/>
          <w:color w:val="5A6478"/>
          <w:sz w:val="17"/>
          <w:szCs w:val="17"/>
        </w:rPr>
        <w:t>*** For the period from 31 March 2024 to 31 March 2025, including cash distributions of SAR 0.785 (0.60 + 0.185).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9"/>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13.83</w:t>
            </w:r>
          </w:p>
        </w:tc>
        <w:tc>
          <w:tcPr>
            <w:tcW w:type="dxa" w:w="1663"/>
          </w:tcPr>
          <w:p>
            <w:pPr>
              <w:spacing w:before="0" w:after="0" w:line="264" w:lineRule="auto"/>
            </w:pPr>
            <w:r>
              <w:rPr>
                <w:rFonts w:ascii="Arial" w:hAnsi="Arial" w:cs="Arial" w:eastAsia="Arial"/>
                <w:color w:val="0E1E3A"/>
                <w:sz w:val="17"/>
                <w:szCs w:val="17"/>
              </w:rPr>
              <w:t>13.83</w:t>
            </w:r>
          </w:p>
        </w:tc>
        <w:tc>
          <w:tcPr>
            <w:tcW w:type="dxa" w:w="1663"/>
          </w:tcPr>
          <w:p>
            <w:pPr>
              <w:spacing w:before="0" w:after="0" w:line="264" w:lineRule="auto"/>
            </w:pPr>
            <w:r>
              <w:rPr>
                <w:rFonts w:ascii="Arial" w:hAnsi="Arial" w:cs="Arial" w:eastAsia="Arial"/>
                <w:color w:val="0E1E3A"/>
                <w:sz w:val="17"/>
                <w:szCs w:val="17"/>
              </w:rPr>
              <w:t>13.92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-0.87</w:t>
            </w:r>
          </w:p>
        </w:tc>
        <w:tc>
          <w:tcPr>
            <w:tcW w:type="dxa" w:w="1663"/>
          </w:tcPr>
          <w:p>
            <w:pPr>
              <w:spacing w:before="0" w:after="0" w:line="264" w:lineRule="auto"/>
            </w:pPr>
            <w:r>
              <w:rPr>
                <w:rFonts w:ascii="Arial" w:hAnsi="Arial" w:cs="Arial" w:eastAsia="Arial"/>
                <w:color w:val="0E1E3A"/>
                <w:sz w:val="17"/>
                <w:szCs w:val="17"/>
              </w:rPr>
              <w:t>-0.87</w:t>
            </w:r>
          </w:p>
        </w:tc>
        <w:tc>
          <w:tcPr>
            <w:tcW w:type="dxa" w:w="1663"/>
          </w:tcPr>
          <w:p>
            <w:pPr>
              <w:spacing w:before="0" w:after="0" w:line="264" w:lineRule="auto"/>
            </w:pPr>
            <w:r>
              <w:rPr>
                <w:rFonts w:ascii="Arial" w:hAnsi="Arial" w:cs="Arial" w:eastAsia="Arial"/>
                <w:color w:val="0E1E3A"/>
                <w:sz w:val="17"/>
                <w:szCs w:val="17"/>
              </w:rPr>
              <w:t>-0.06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4.38</w:t>
            </w:r>
          </w:p>
        </w:tc>
        <w:tc>
          <w:tcPr>
            <w:tcW w:type="dxa" w:w="1663"/>
          </w:tcPr>
          <w:p>
            <w:pPr>
              <w:spacing w:before="0" w:after="0" w:line="264" w:lineRule="auto"/>
            </w:pPr>
            <w:r>
              <w:rPr>
                <w:rFonts w:ascii="Arial" w:hAnsi="Arial" w:cs="Arial" w:eastAsia="Arial"/>
                <w:color w:val="0E1E3A"/>
                <w:sz w:val="17"/>
                <w:szCs w:val="17"/>
              </w:rPr>
              <w:t>4.38</w:t>
            </w:r>
          </w:p>
        </w:tc>
        <w:tc>
          <w:tcPr>
            <w:tcW w:type="dxa" w:w="1663"/>
          </w:tcPr>
          <w:p>
            <w:pPr>
              <w:spacing w:before="0" w:after="0" w:line="264" w:lineRule="auto"/>
            </w:pPr>
            <w:r>
              <w:rPr>
                <w:rFonts w:ascii="Arial" w:hAnsi="Arial" w:cs="Arial" w:eastAsia="Arial"/>
                <w:color w:val="0E1E3A"/>
                <w:sz w:val="17"/>
                <w:szCs w:val="17"/>
              </w:rPr>
              <w:t>8.38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0.91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0.08</w:t>
            </w:r>
          </w:p>
        </w:tc>
        <w:tc>
          <w:tcPr>
            <w:tcW w:type="dxa" w:w="1663"/>
          </w:tcPr>
          <w:p>
            <w:pPr>
              <w:spacing w:before="0" w:after="0" w:line="264" w:lineRule="auto"/>
            </w:pPr>
            <w:r>
              <w:rPr>
                <w:rFonts w:ascii="Arial" w:hAnsi="Arial" w:cs="Arial" w:eastAsia="Arial"/>
                <w:color w:val="0E1E3A"/>
                <w:sz w:val="17"/>
                <w:szCs w:val="17"/>
              </w:rPr>
              <w:t>0.08</w:t>
            </w:r>
          </w:p>
        </w:tc>
        <w:tc>
          <w:tcPr>
            <w:tcW w:type="dxa" w:w="1663"/>
          </w:tcPr>
          <w:p>
            <w:pPr>
              <w:spacing w:before="0" w:after="0" w:line="264" w:lineRule="auto"/>
            </w:pPr>
            <w:r>
              <w:rPr>
                <w:rFonts w:ascii="Arial" w:hAnsi="Arial" w:cs="Arial" w:eastAsia="Arial"/>
                <w:color w:val="0E1E3A"/>
                <w:sz w:val="17"/>
                <w:szCs w:val="17"/>
              </w:rPr>
              <w:t>0.03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1.81</w:t>
            </w:r>
          </w:p>
        </w:tc>
        <w:tc>
          <w:tcPr>
            <w:tcW w:type="dxa" w:w="1663"/>
          </w:tcPr>
          <w:p>
            <w:pPr>
              <w:spacing w:before="0" w:after="0" w:line="264" w:lineRule="auto"/>
            </w:pPr>
            <w:r>
              <w:rPr>
                <w:rFonts w:ascii="Arial" w:hAnsi="Arial" w:cs="Arial" w:eastAsia="Arial"/>
                <w:color w:val="0E1E3A"/>
                <w:sz w:val="17"/>
                <w:szCs w:val="17"/>
              </w:rPr>
              <w:t>1.81</w:t>
            </w:r>
          </w:p>
        </w:tc>
        <w:tc>
          <w:tcPr>
            <w:tcW w:type="dxa" w:w="1663"/>
          </w:tcPr>
          <w:p>
            <w:pPr>
              <w:spacing w:before="0" w:after="0" w:line="264" w:lineRule="auto"/>
            </w:pPr>
            <w:r>
              <w:rPr>
                <w:rFonts w:ascii="Arial" w:hAnsi="Arial" w:cs="Arial" w:eastAsia="Arial"/>
                <w:color w:val="0E1E3A"/>
                <w:sz w:val="17"/>
                <w:szCs w:val="17"/>
              </w:rPr>
              <w:t>0.41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w:t>
      </w:r>
      <w:r>
        <w:br/>
      </w:r>
      <w:r>
        <w:rPr>
          <w:rFonts w:ascii="Arial" w:hAnsi="Arial" w:cs="Arial" w:eastAsia="Arial"/>
          <w:color w:val="5A6478"/>
          <w:sz w:val="17"/>
          <w:szCs w:val="17"/>
        </w:rPr>
        <w:t>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6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As of August 29, 2024, the Unitholders approved the buyback of up to 20 million Units, or 20% of the total number of Fund Units upon offering within a period of 12 months. The Unitholders also approved the amendment of the dividend distribution policy and giving the Fund Manager the right to appoint a market maker.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6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Global equity markets experienced high volatility in Q1 2025 due to the possible imposition of across-the-board tariffs by the United States on major exporting countries, in addition to rising geopolitical tensions, persistent inflationary pressures and concerns over global growth resulting from their effects on investor appetite. As a result, Alkhabeer Global Equities Index declined by -1.94% during the quarter.</w:t>
      </w:r>
    </w:p>
    <w:p>
      <w:pPr>
        <w:spacing w:before="0" w:after="80" w:line="312" w:lineRule="auto"/>
      </w:pPr>
      <w:r>
        <w:rPr>
          <w:rFonts w:ascii="Arial" w:hAnsi="Arial" w:cs="Arial" w:eastAsia="Arial"/>
          <w:color w:val="0E1E3A"/>
          <w:sz w:val="20"/>
          <w:szCs w:val="20"/>
        </w:rPr>
        <w:t>In spite of market challenges, basic economic data remained strong. The US labor market continued to show resilience, while consumer spending remained stable and inflation declined. This allowed the Fed to maintain flat interest rates while continuing to rely on data in making future policy decisions. Market expectations gradually shifted towards an easier monetary policy in the second half of 2025, which helped stabilize appetite by the end of the quarter.</w:t>
      </w:r>
    </w:p>
    <w:p>
      <w:pPr>
        <w:spacing w:before="0" w:after="80" w:line="312" w:lineRule="auto"/>
      </w:pPr>
      <w:r>
        <w:rPr>
          <w:rFonts w:ascii="Arial" w:hAnsi="Arial" w:cs="Arial" w:eastAsia="Arial"/>
          <w:color w:val="0E1E3A"/>
          <w:sz w:val="20"/>
          <w:szCs w:val="20"/>
        </w:rPr>
        <w:t>Looking ahead, the remainder of 2025 is expected to combine a delicate balance between attempts to offset fluctuations resulting from uncertainty in foreign trade, persistent geopolitical developments and actions taken by central banks.</w:t>
      </w:r>
    </w:p>
    <w:p>
      <w:pPr>
        <w:spacing w:before="0" w:after="80" w:line="312" w:lineRule="auto"/>
      </w:pPr>
      <w:r>
        <w:rPr>
          <w:rFonts w:ascii="Arial" w:hAnsi="Arial" w:cs="Arial" w:eastAsia="Arial"/>
          <w:color w:val="0E1E3A"/>
          <w:sz w:val="20"/>
          <w:szCs w:val="20"/>
        </w:rPr>
        <w:t>The latest IMF World Economic Outlook forecasts global GDP growth by 3.3% in 2025, with advanced economies projected to grow by 1.9%, and emerging markets by 4.2%.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63351"/>
            <wp:docPr id="28" name="Picture 9063"/>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63351"/>
                    </a:xfrm>
                    <a:prstGeom prst="rect"/>
                  </pic:spPr>
                </pic:pic>
              </a:graphicData>
            </a:graphic>
          </wp:inline>
        </w:drawing>
      </w:r>
    </w:p>
    <w:p>
      <w:pPr>
        <w:spacing w:before="0" w:after="80" w:line="312" w:lineRule="auto"/>
      </w:pPr>
      <w:r>
        <w:rPr>
          <w:rFonts w:ascii="Arial" w:hAnsi="Arial" w:cs="Arial" w:eastAsia="Arial"/>
          <w:color w:val="5A6478"/>
          <w:sz w:val="17"/>
          <w:szCs w:val="17"/>
        </w:rPr>
        <w:t>As at 27 March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4"/>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5"/>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Q1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