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8"/>
            <wp:cNvGraphicFramePr/>
            <a:graphic>
              <a:graphicData uri="http://schemas.openxmlformats.org/drawingml/2006/picture">
                <pic:pic>
                  <pic:nvPicPr>
                    <pic:cNvPr id="9038" name="banner903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يركز مدير الصندوق على الاستثمار في محفظة متنوعة من الأسهم العالمية، حيث تشمل استثمارات الصندوق الاستثمار في أسهم الشركات بكافة قطاعاتها، والمتداولة في الأسواق العالمية؛ ومن بينها المملكة العربية السعودية، والواليات المتحدة الامريكية، وجمهورية الصين الشعبية، واليابان، وسويسرا، والمملكة المتحدة البريطانية، وفرنسا، وألمانيا، وكندا. وسيتم الاستثمار في تلك الأسواق طبقًا لعملة كل بلد. بالإضافة إلى ذلك، سيقوم مدير الصندوق بالاستثمار في صناديق الأسهم العامة والخاصة والتي تدار منِقبل مديري صناديق مرخص لهم منِقبل الهيئة، أو جهة مماثلة في حال الاستثمار خارج المملكة العربية السعودية، حيث تشمل هذه الصناديق أسهم شركات ذات قيم سوقية مختلفة في دول وقطاعات متنوعة. كما ينوي مدير الصندوق الاستثمار في الطروحات الأولية للاكتتاب العام، والتي سيتم إدراجها في أسواق الأسهم المختلفة، بالإضافة إلى الاكتتاب في زيادات رأس المال للشركات المدرجة، والشركات غير المدرجة المقبلة على الطرح الأولي للاكتتاب العام من خلال المساهمة في الطروحات الخاصة المقبلة على الطرح الأولي للاكتتاب العام، والنقد وما في حكمه، المتوافقة مع الأحكام الشرعية ومبادئها، لتحقيق نمو طويل الأجل، وتحقيق دخل دوري من عوائد الأسهم والأرباح على رأس المال.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10.4120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667,679,247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31 مارس 2026م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pStyle w:val="Heading3"/>
        <w:keepNext/>
        <w:bidi w:val="1"/>
        <w:spacing w:before="160" w:after="100" w:line="300" w:lineRule="auto"/>
      </w:pPr>
      <w:r>
        <w:rPr>
          <w:rFonts w:ascii="Arial" w:hAnsi="Arial" w:cs="Arial" w:eastAsia="Arial"/>
          <w:b/>
          <w:bCs/>
          <w:color w:val="12284B"/>
          <w:sz w:val="22"/>
          <w:szCs w:val="22"/>
          <w:rtl/>
        </w:rPr>
        <w:t>تحديث الأسواق العالمية</w:t>
      </w:r>
    </w:p>
    <w:p>
      <w:pPr>
        <w:bidi w:val="1"/>
        <w:spacing w:before="0" w:after="80" w:line="312" w:lineRule="auto"/>
      </w:pPr>
      <w:r>
        <w:rPr>
          <w:rFonts w:ascii="Arial" w:hAnsi="Arial" w:cs="Arial" w:eastAsia="Arial"/>
          <w:color w:val="0E1E3A"/>
          <w:sz w:val="20"/>
          <w:szCs w:val="20"/>
          <w:rtl/>
        </w:rPr>
        <w:t xml:space="preserve">أنهت أسواق الأسهم العالمية الربع الأول من العام 2026م على أداءٍ متراجع، متأثرةً بتصاعد التوترات الجيوسياسية في الشرق الأوسط، واستمرار حالة عدم اليقين حيال السياسات التجارية، إلى جانب ارتفاع أسعار الطاقة، وتبنيّنظرة أكثر تحفظًا تجاه مسار أسعار الفائدة عالميًا. وقد انعكس ذلك في زيادة حذر المستثمرين وارتفاع مستويات التقلب عبر مختلف فئات الأصول بما يعكس الأداء الأضعف للأسواق العالمية خلال الفترة. وفي هذا السياق، سجّل مؤشر "الخبير للأسهم العالمية" انخفاضاً بنسبة </w:t>
      </w:r>
      <w:r>
        <w:rPr>
          <w:rFonts w:ascii="Arial" w:hAnsi="Arial" w:cs="Arial" w:eastAsia="Arial"/>
          <w:color w:val="0E1E3A"/>
          <w:sz w:val="20"/>
          <w:szCs w:val="20"/>
        </w:rPr>
        <w:t>‎3.49%‎</w:t>
      </w:r>
      <w:r>
        <w:rPr>
          <w:rFonts w:ascii="Arial" w:hAnsi="Arial" w:cs="Arial" w:eastAsia="Arial"/>
          <w:color w:val="0E1E3A"/>
          <w:sz w:val="20"/>
          <w:szCs w:val="20"/>
          <w:rtl/>
        </w:rPr>
        <w:t xml:space="preserve"> خلال الربع الأول من العام.</w:t>
      </w:r>
    </w:p>
    <w:p>
      <w:pPr>
        <w:bidi w:val="1"/>
        <w:spacing w:before="0" w:after="80" w:line="312" w:lineRule="auto"/>
      </w:pPr>
      <w:r>
        <w:rPr>
          <w:rFonts w:ascii="Arial" w:hAnsi="Arial" w:cs="Arial" w:eastAsia="Arial"/>
          <w:color w:val="0E1E3A"/>
          <w:sz w:val="20"/>
          <w:szCs w:val="20"/>
          <w:rtl/>
        </w:rPr>
        <w:t xml:space="preserve">وعلى صعيد الاقتصاد الأمريكي، برزت مؤشرات على تباطؤ نسبي في وتيرة النمو، حيث بلغ معدل البطالة </w:t>
      </w:r>
      <w:r>
        <w:rPr>
          <w:rFonts w:ascii="Arial" w:hAnsi="Arial" w:cs="Arial" w:eastAsia="Arial"/>
          <w:color w:val="0E1E3A"/>
          <w:sz w:val="20"/>
          <w:szCs w:val="20"/>
        </w:rPr>
        <w:t>‎4.4%‎</w:t>
      </w:r>
      <w:r>
        <w:rPr>
          <w:rFonts w:ascii="Arial" w:hAnsi="Arial" w:cs="Arial" w:eastAsia="Arial"/>
          <w:color w:val="0E1E3A"/>
          <w:sz w:val="20"/>
          <w:szCs w:val="20"/>
          <w:rtl/>
        </w:rPr>
        <w:t xml:space="preserve"> في فبراير، فيما سجّل التضخم </w:t>
      </w:r>
      <w:r>
        <w:rPr>
          <w:rFonts w:ascii="Arial" w:hAnsi="Arial" w:cs="Arial" w:eastAsia="Arial"/>
          <w:color w:val="0E1E3A"/>
          <w:sz w:val="20"/>
          <w:szCs w:val="20"/>
        </w:rPr>
        <w:t>‎2.4%‎</w:t>
      </w:r>
      <w:r>
        <w:rPr>
          <w:rFonts w:ascii="Arial" w:hAnsi="Arial" w:cs="Arial" w:eastAsia="Arial"/>
          <w:color w:val="0E1E3A"/>
          <w:sz w:val="20"/>
          <w:szCs w:val="20"/>
          <w:rtl/>
        </w:rPr>
        <w:t xml:space="preserve"> على أساس سنوي خلال الشهر ذاته. وخلال شهر مارس، أبقى الاحتياطي الفيدرالي الأمريكي أسعار الفائدة دون تغيير عند نطاق </w:t>
      </w:r>
      <w:r>
        <w:rPr>
          <w:rFonts w:ascii="Arial" w:hAnsi="Arial" w:cs="Arial" w:eastAsia="Arial"/>
          <w:color w:val="0E1E3A"/>
          <w:sz w:val="20"/>
          <w:szCs w:val="20"/>
        </w:rPr>
        <w:t>‎3.50%‎</w:t>
      </w:r>
      <w:r>
        <w:rPr>
          <w:rFonts w:ascii="Arial" w:hAnsi="Arial" w:cs="Arial" w:eastAsia="Arial"/>
          <w:color w:val="0E1E3A"/>
          <w:sz w:val="20"/>
          <w:szCs w:val="20"/>
          <w:rtl/>
        </w:rPr>
        <w:t xml:space="preserve">، إلى </w:t>
      </w:r>
      <w:r>
        <w:rPr>
          <w:rFonts w:ascii="Arial" w:hAnsi="Arial" w:cs="Arial" w:eastAsia="Arial"/>
          <w:color w:val="0E1E3A"/>
          <w:sz w:val="20"/>
          <w:szCs w:val="20"/>
        </w:rPr>
        <w:t>‎3.75%‎</w:t>
      </w:r>
      <w:r>
        <w:rPr>
          <w:rFonts w:ascii="Arial" w:hAnsi="Arial" w:cs="Arial" w:eastAsia="Arial"/>
          <w:color w:val="0E1E3A"/>
          <w:sz w:val="20"/>
          <w:szCs w:val="20"/>
          <w:rtl/>
        </w:rPr>
        <w:t>، وذلك عقب ثلاثة تخفيضات خلال العام 2025م، مع الإشارة إلى استمرار النشاط الاقتصادي في التوسع بوتيرة جيدة، رغم بقاء مستويات التضخم مرتفعة نسبيًا.</w:t>
      </w:r>
    </w:p>
    <w:p>
      <w:pPr>
        <w:bidi w:val="1"/>
        <w:spacing w:before="0" w:after="80" w:line="312" w:lineRule="auto"/>
      </w:pPr>
      <w:r>
        <w:rPr>
          <w:rFonts w:ascii="Arial" w:hAnsi="Arial" w:cs="Arial" w:eastAsia="Arial"/>
          <w:color w:val="0E1E3A"/>
          <w:sz w:val="20"/>
          <w:szCs w:val="20"/>
          <w:rtl/>
        </w:rPr>
        <w:t>أما في أوروبا، فقد تباينت التوقعات الاقتصادية في ظل خفض تقديرات النمو ورفع توقعات التضخم، مدفوعةً بارتفاع أسعار الطاقة واستمر ار الضبابية في البيئة الخارجية. وفي المقابل، واجهت الأسواق الناشئة ضغوطًا نتيجة التوترات الجيوسياسية، وذلك على الرغم من جاذبية التقييمات وتوقعات نمو الأرباح.</w:t>
      </w:r>
    </w:p>
    <w:p>
      <w:pPr>
        <w:bidi w:val="1"/>
        <w:spacing w:before="0" w:after="80" w:line="312" w:lineRule="auto"/>
      </w:pPr>
      <w:r>
        <w:rPr>
          <w:rFonts w:ascii="Arial" w:hAnsi="Arial" w:cs="Arial" w:eastAsia="Arial"/>
          <w:color w:val="0E1E3A"/>
          <w:sz w:val="20"/>
          <w:szCs w:val="20"/>
          <w:rtl/>
        </w:rPr>
        <w:t>ومن المتوقع أن تستمر تقلبات أسواق الأسهم خلال الفترة المقبلة، في ظل استمرار العوامل الجيوسياسية، وتقلبات أسعار السلع، وعدم وضوح توجهات السياسات التجارية. وفي المقابل، قد يسهم التقدم في احتواء التضخم، إلى جانبّتبني سياسات نقدية متوازنة من قبل البنوك المركز ية، في دعم استقرار الأسواق، وذلك رهنًا بانحسار التوترات الجيوسياسية.</w:t>
      </w:r>
    </w:p>
    <w:p>
      <w:pPr>
        <w:bidi w:val="1"/>
        <w:spacing w:before="0" w:after="80" w:line="312" w:lineRule="auto"/>
      </w:pPr>
      <w:r>
        <w:rPr>
          <w:rFonts w:ascii="Arial" w:hAnsi="Arial" w:cs="Arial" w:eastAsia="Arial"/>
          <w:color w:val="0E1E3A"/>
          <w:sz w:val="20"/>
          <w:szCs w:val="20"/>
          <w:rtl/>
        </w:rPr>
        <w:t xml:space="preserve">وبحسب تقرير "آفاق الاقتصاد العالمي" الصادر عن صندوق النقد الدولي، يُتوقع أن يبلغ نمو الناتج المحلي الإجمالي العالمي </w:t>
      </w:r>
      <w:r>
        <w:rPr>
          <w:rFonts w:ascii="Arial" w:hAnsi="Arial" w:cs="Arial" w:eastAsia="Arial"/>
          <w:color w:val="0E1E3A"/>
          <w:sz w:val="20"/>
          <w:szCs w:val="20"/>
        </w:rPr>
        <w:t>‎3.3%‎</w:t>
      </w:r>
      <w:r>
        <w:rPr>
          <w:rFonts w:ascii="Arial" w:hAnsi="Arial" w:cs="Arial" w:eastAsia="Arial"/>
          <w:color w:val="0E1E3A"/>
          <w:sz w:val="20"/>
          <w:szCs w:val="20"/>
          <w:rtl/>
        </w:rPr>
        <w:t xml:space="preserve"> خلال العام 2026م، مع نمو الاقتصادات المتقدمة بنسبة </w:t>
      </w:r>
      <w:r>
        <w:rPr>
          <w:rFonts w:ascii="Arial" w:hAnsi="Arial" w:cs="Arial" w:eastAsia="Arial"/>
          <w:color w:val="0E1E3A"/>
          <w:sz w:val="20"/>
          <w:szCs w:val="20"/>
        </w:rPr>
        <w:t>‎1.8%‎</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‎4.2%‎</w:t>
      </w:r>
      <w:r>
        <w:rPr>
          <w:rFonts w:ascii="Arial" w:hAnsi="Arial" w:cs="Arial" w:eastAsia="Arial"/>
          <w:color w:val="0E1E3A"/>
          <w:sz w:val="20"/>
          <w:szCs w:val="20"/>
          <w:rtl/>
        </w:rPr>
        <w:t xml:space="preserve">. كما تشير التقديرات إلى نمو اقتصاد الولايات المتحدة بنسبة </w:t>
      </w:r>
      <w:r>
        <w:rPr>
          <w:rFonts w:ascii="Arial" w:hAnsi="Arial" w:cs="Arial" w:eastAsia="Arial"/>
          <w:color w:val="0E1E3A"/>
          <w:sz w:val="20"/>
          <w:szCs w:val="20"/>
        </w:rPr>
        <w:t>‎2.4%‎</w:t>
      </w:r>
      <w:r>
        <w:rPr>
          <w:rFonts w:ascii="Arial" w:hAnsi="Arial" w:cs="Arial" w:eastAsia="Arial"/>
          <w:color w:val="0E1E3A"/>
          <w:sz w:val="20"/>
          <w:szCs w:val="20"/>
          <w:rtl/>
        </w:rPr>
        <w:t xml:space="preserve">، والمملكة المتحدة بنسبة </w:t>
      </w:r>
      <w:r>
        <w:rPr>
          <w:rFonts w:ascii="Arial" w:hAnsi="Arial" w:cs="Arial" w:eastAsia="Arial"/>
          <w:color w:val="0E1E3A"/>
          <w:sz w:val="20"/>
          <w:szCs w:val="20"/>
        </w:rPr>
        <w:t>‎1.3%‎</w:t>
      </w:r>
      <w:r>
        <w:rPr>
          <w:rFonts w:ascii="Arial" w:hAnsi="Arial" w:cs="Arial" w:eastAsia="Arial"/>
          <w:color w:val="0E1E3A"/>
          <w:sz w:val="20"/>
          <w:szCs w:val="20"/>
          <w:rtl/>
        </w:rPr>
        <w:t xml:space="preserve">، والمملكة العربية السعودية بنسبة </w:t>
      </w:r>
      <w:r>
        <w:rPr>
          <w:rFonts w:ascii="Arial" w:hAnsi="Arial" w:cs="Arial" w:eastAsia="Arial"/>
          <w:color w:val="0E1E3A"/>
          <w:sz w:val="20"/>
          <w:szCs w:val="20"/>
        </w:rPr>
        <w:t>‎4.5%‎</w:t>
      </w:r>
      <w:r>
        <w:rPr>
          <w:rFonts w:ascii="Arial" w:hAnsi="Arial" w:cs="Arial" w:eastAsia="Arial"/>
          <w:color w:val="0E1E3A"/>
          <w:sz w:val="20"/>
          <w:szCs w:val="20"/>
          <w:rtl/>
        </w:rPr>
        <w:t xml:space="preserve">، والصين بنسبة </w:t>
      </w:r>
      <w:r>
        <w:rPr>
          <w:rFonts w:ascii="Arial" w:hAnsi="Arial" w:cs="Arial" w:eastAsia="Arial"/>
          <w:color w:val="0E1E3A"/>
          <w:sz w:val="20"/>
          <w:szCs w:val="20"/>
        </w:rPr>
        <w:t>‎4.5%‎</w:t>
      </w:r>
      <w:r>
        <w:rPr>
          <w:rFonts w:ascii="Arial" w:hAnsi="Arial" w:cs="Arial" w:eastAsia="Arial"/>
          <w:color w:val="0E1E3A"/>
          <w:sz w:val="20"/>
          <w:szCs w:val="20"/>
          <w:rtl/>
        </w:rPr>
        <w:t xml:space="preserve">، والهند بنسبة </w:t>
      </w:r>
      <w:r>
        <w:rPr>
          <w:rFonts w:ascii="Arial" w:hAnsi="Arial" w:cs="Arial" w:eastAsia="Arial"/>
          <w:color w:val="0E1E3A"/>
          <w:sz w:val="20"/>
          <w:szCs w:val="20"/>
        </w:rPr>
        <w:t>‎6.4%‎</w:t>
      </w:r>
      <w:r>
        <w:rPr>
          <w:rFonts w:ascii="Arial" w:hAnsi="Arial" w:cs="Arial" w:eastAsia="Arial"/>
          <w:color w:val="0E1E3A"/>
          <w:sz w:val="20"/>
          <w:szCs w:val="20"/>
          <w:rtl/>
        </w:rPr>
        <w:t xml:space="preserve"> خلال العام ذاته.</w:t>
      </w:r>
    </w:p>
    <w:p>
      <w:pPr>
        <w:pStyle w:val="Heading3"/>
        <w:keepNext/>
        <w:bidi w:val="1"/>
        <w:spacing w:before="160" w:after="100" w:line="300" w:lineRule="auto"/>
      </w:pPr>
      <w:r>
        <w:rPr>
          <w:rFonts w:ascii="Arial" w:hAnsi="Arial" w:cs="Arial" w:eastAsia="Arial"/>
          <w:b/>
          <w:bCs/>
          <w:color w:val="12284B"/>
          <w:sz w:val="22"/>
          <w:szCs w:val="22"/>
          <w:rtl/>
        </w:rPr>
        <w:t>أداء الصندوق</w:t>
      </w:r>
    </w:p>
    <w:p>
      <w:pPr>
        <w:bidi w:val="1"/>
        <w:spacing w:before="0" w:after="80" w:line="312" w:lineRule="auto"/>
      </w:pPr>
      <w:r>
        <w:rPr>
          <w:rFonts w:ascii="Arial" w:hAnsi="Arial" w:cs="Arial" w:eastAsia="Arial"/>
          <w:color w:val="0E1E3A"/>
          <w:sz w:val="20"/>
          <w:szCs w:val="20"/>
          <w:rtl/>
        </w:rPr>
        <w:t xml:space="preserve">يتبع صندوق "الخبير للنمو والدخل المتداول" نهج الاستثمار الأساسي التكميلي، حيث يتم تخصيص ما لا يقل عن </w:t>
      </w:r>
      <w:r>
        <w:rPr>
          <w:rFonts w:ascii="Arial" w:hAnsi="Arial" w:cs="Arial" w:eastAsia="Arial"/>
          <w:color w:val="0E1E3A"/>
          <w:sz w:val="20"/>
          <w:szCs w:val="20"/>
        </w:rPr>
        <w:t>‎75%‎</w:t>
      </w:r>
      <w:r>
        <w:rPr>
          <w:rFonts w:ascii="Arial" w:hAnsi="Arial" w:cs="Arial" w:eastAsia="Arial"/>
          <w:color w:val="0E1E3A"/>
          <w:sz w:val="20"/>
          <w:szCs w:val="20"/>
          <w:rtl/>
        </w:rPr>
        <w:t xml:space="preserve"> من الأصول ضمن مكونات أساسية متوافقة مع المؤشر المرجعي، فيماُتدار النسبة المتبقية البالغة </w:t>
      </w:r>
      <w:r>
        <w:rPr>
          <w:rFonts w:ascii="Arial" w:hAnsi="Arial" w:cs="Arial" w:eastAsia="Arial"/>
          <w:color w:val="0E1E3A"/>
          <w:sz w:val="20"/>
          <w:szCs w:val="20"/>
        </w:rPr>
        <w:t>‎25%‎</w:t>
      </w:r>
      <w:r>
        <w:rPr>
          <w:rFonts w:ascii="Arial" w:hAnsi="Arial" w:cs="Arial" w:eastAsia="Arial"/>
          <w:color w:val="0E1E3A"/>
          <w:sz w:val="20"/>
          <w:szCs w:val="20"/>
          <w:rtl/>
        </w:rPr>
        <w:t xml:space="preserve"> بشكل نشط من خلال الاستثمار في الصناديق، والطروحات الأولية، والطروحات ما قبل الإدراج، وأدوات أسواق النقد. ونتيجة لارتفاع التوترات الجيوسياسية في الشرق الأوسط، وعدم اليقين المرتبط بالسياسات التجارية، وارتفاع أسعار الطاقة، إلى جانب تقييم أكثر تحفظًا لآفاق أسعار الفائدة العالمية، شهد أداء الأسواق تراجعًا خلال الربع. وبناءً عليه، بلغ العائد الإجمالي للصندوق للربع الأول من العام 2026م نسبة </w:t>
      </w:r>
      <w:r>
        <w:rPr>
          <w:rFonts w:ascii="Arial" w:hAnsi="Arial" w:cs="Arial" w:eastAsia="Arial"/>
          <w:color w:val="0E1E3A"/>
          <w:sz w:val="20"/>
          <w:szCs w:val="20"/>
        </w:rPr>
        <w:t>‎-2.52%‎</w:t>
      </w:r>
      <w:r>
        <w:rPr>
          <w:rFonts w:ascii="Arial" w:hAnsi="Arial" w:cs="Arial" w:eastAsia="Arial"/>
          <w:color w:val="0E1E3A"/>
          <w:sz w:val="20"/>
          <w:szCs w:val="20"/>
          <w:rtl/>
        </w:rPr>
        <w:t xml:space="preserve"> مقارنةً بالمؤشر المرجعي الذي سجل </w:t>
      </w:r>
      <w:r>
        <w:rPr>
          <w:rFonts w:ascii="Arial" w:hAnsi="Arial" w:cs="Arial" w:eastAsia="Arial"/>
          <w:color w:val="0E1E3A"/>
          <w:sz w:val="20"/>
          <w:szCs w:val="20"/>
        </w:rPr>
        <w:t>‎-1.24%‎</w:t>
      </w:r>
      <w:r>
        <w:rPr>
          <w:rFonts w:ascii="Arial" w:hAnsi="Arial" w:cs="Arial" w:eastAsia="Arial"/>
          <w:color w:val="0E1E3A"/>
          <w:sz w:val="20"/>
          <w:szCs w:val="20"/>
          <w:rtl/>
        </w:rPr>
        <w:t>. بناءً على تحليل إسناد أداء الصندوق، تعود الأسباب الرئيسية لضعف الأداء خلال الفترة إلى انخفاض وزن الصندوق في قطاعات مثل الطاقة والصناعات مقارنةً بأوزانها في المؤشر المرجعي للصندوق، بالإضافة إلى أن الاستثمارات التكميليّة للصندوق (مثل صناديق الأسهم وصندوق سوق النقد) قد سجلت أداءً أقل من أداء المؤشر المرجعي للصندوق. وقد تم تعويض هذه الآثار السلبية جزئيًا من خلال تمركز أكثر دعمًا في قطاعات تقنية المعلومات، وخدمات الاتصالات، والسلع الاستهلاكية الكمالية.</w:t>
      </w:r>
    </w:p>
    <w:p>
      <w:pPr>
        <w:bidi w:val="1"/>
        <w:spacing w:before="0" w:after="80" w:line="312" w:lineRule="auto"/>
      </w:pPr>
      <w:r>
        <w:rPr>
          <w:rFonts w:ascii="Arial" w:hAnsi="Arial" w:cs="Arial" w:eastAsia="Arial"/>
          <w:color w:val="0E1E3A"/>
          <w:sz w:val="20"/>
          <w:szCs w:val="20"/>
          <w:rtl/>
        </w:rPr>
        <w:t xml:space="preserve">ويعكس تحقيق ألفا سلبية بنسبة </w:t>
      </w:r>
      <w:r>
        <w:rPr>
          <w:rFonts w:ascii="Arial" w:hAnsi="Arial" w:cs="Arial" w:eastAsia="Arial"/>
          <w:color w:val="0E1E3A"/>
          <w:sz w:val="20"/>
          <w:szCs w:val="20"/>
        </w:rPr>
        <w:t>‎-5.36%‎</w:t>
      </w:r>
      <w:r>
        <w:rPr>
          <w:rFonts w:ascii="Arial" w:hAnsi="Arial" w:cs="Arial" w:eastAsia="Arial"/>
          <w:color w:val="0E1E3A"/>
          <w:sz w:val="20"/>
          <w:szCs w:val="20"/>
          <w:rtl/>
        </w:rPr>
        <w:t xml:space="preserve"> خلال الربع هذه العوامل ذاتها، مما يشير إلى أن العوائد جاءت دون المستويات المتوقعة بناءً على التعرض للسوق فقط.</w:t>
      </w:r>
    </w:p>
    <w:p>
      <w:pPr>
        <w:pStyle w:val="Heading3"/>
        <w:keepNext/>
        <w:bidi w:val="1"/>
        <w:spacing w:before="160" w:after="100" w:line="300" w:lineRule="auto"/>
      </w:pPr>
      <w:r>
        <w:rPr>
          <w:rFonts w:ascii="Arial" w:hAnsi="Arial" w:cs="Arial" w:eastAsia="Arial"/>
          <w:b/>
          <w:bCs/>
          <w:color w:val="12284B"/>
          <w:sz w:val="22"/>
          <w:szCs w:val="22"/>
          <w:rtl/>
        </w:rPr>
        <w:t>أبرز أحداث الصندوق، وأي تغييرات أساسية أو غير أساسية تؤثر على أدائه</w:t>
      </w:r>
    </w:p>
    <w:p>
      <w:pPr>
        <w:pStyle w:val="Heading3"/>
        <w:keepNext/>
        <w:bidi w:val="1"/>
        <w:spacing w:before="160" w:after="100" w:line="300" w:lineRule="auto"/>
      </w:pPr>
      <w:r>
        <w:rPr>
          <w:rFonts w:ascii="Arial" w:hAnsi="Arial" w:cs="Arial" w:eastAsia="Arial"/>
          <w:b/>
          <w:bCs/>
          <w:color w:val="12284B"/>
          <w:sz w:val="22"/>
          <w:szCs w:val="22"/>
          <w:rtl/>
        </w:rPr>
        <w:t>التطورات الجوهرية للصندوق</w:t>
      </w:r>
    </w:p>
    <w:p>
      <w:pPr>
        <w:bidi w:val="1"/>
        <w:spacing w:before="0" w:after="80" w:line="312" w:lineRule="auto"/>
      </w:pPr>
      <w:r>
        <w:rPr>
          <w:rFonts w:ascii="Arial" w:hAnsi="Arial" w:cs="Arial" w:eastAsia="Arial"/>
          <w:color w:val="0E1E3A"/>
          <w:sz w:val="20"/>
          <w:szCs w:val="20"/>
          <w:rtl/>
        </w:rPr>
        <w:t>مراجعة توصيات مدير الصندوق، والأخذ في الاعتبار تحقيق أفضل مصالح جميع مالكي الوحدات، وكذلك الحفاظ على حقوقهم والالتزام بالأطر الزمنية التنظيمية المعمول بها، وافق مجلس إدارة الصندوق بتاريخ 18 ديسمبر 2025م على توصية مدير الصندوق بإلغاء إدراج الصندوق كونه صندوقًا متداولاً مغلقًا وتحويله إلى صندوق عام مفتوح. وذلك مشروطًا بالحصول على موافقة هيئة السوق المالية، ومن ثم موافقة مالكي وحدات الصندوق.</w:t>
      </w:r>
    </w:p>
    <w:p>
      <w:pPr>
        <w:pStyle w:val="Heading3"/>
        <w:keepNext/>
        <w:bidi w:val="1"/>
        <w:spacing w:before="160" w:after="100" w:line="300" w:lineRule="auto"/>
      </w:pPr>
      <w:r>
        <w:rPr>
          <w:rFonts w:ascii="Arial" w:hAnsi="Arial" w:cs="Arial" w:eastAsia="Arial"/>
          <w:b/>
          <w:bCs/>
          <w:color w:val="12284B"/>
          <w:sz w:val="22"/>
          <w:szCs w:val="22"/>
          <w:rtl/>
        </w:rPr>
        <w:t>التوزيعات</w:t>
      </w:r>
    </w:p>
    <w:p>
      <w:pPr>
        <w:bidi w:val="1"/>
        <w:spacing w:before="0" w:after="80" w:line="312" w:lineRule="auto"/>
      </w:pPr>
      <w:r>
        <w:rPr>
          <w:rFonts w:ascii="Arial" w:hAnsi="Arial" w:cs="Arial" w:eastAsia="Arial"/>
          <w:color w:val="0E1E3A"/>
          <w:sz w:val="20"/>
          <w:szCs w:val="20"/>
          <w:rtl/>
        </w:rPr>
        <w:t>خلال الربع الأول، قام مدير صندوق "الخبير للنمو والدخل" بتوزيع أرباح بقيمة 19.16 مليون ريال سعودي، بواقع 0.30 ريال للوحدة، وذلك عن الفترة من 1 يوليو 2025م، حتى 31 ديسمبر 2025م.</w:t>
      </w:r>
    </w:p>
    <w:p>
      <w:pPr>
        <w:bidi w:val="1"/>
        <w:spacing w:before="0" w:after="80" w:line="312" w:lineRule="auto"/>
      </w:pPr>
      <w:r>
        <w:rPr>
          <w:rFonts w:ascii="Arial" w:hAnsi="Arial" w:cs="Arial" w:eastAsia="Arial"/>
          <w:color w:val="0E1E3A"/>
          <w:sz w:val="20"/>
          <w:szCs w:val="20"/>
          <w:rtl/>
        </w:rPr>
        <w:t xml:space="preserve">ومنذ التأسيس، بلغ إجمالي التوزيعات النقدية للصندوق 5.015 ريال للوحدة، أي ما يعادل </w:t>
      </w:r>
      <w:r>
        <w:rPr>
          <w:rFonts w:ascii="Arial" w:hAnsi="Arial" w:cs="Arial" w:eastAsia="Arial"/>
          <w:color w:val="0E1E3A"/>
          <w:sz w:val="20"/>
          <w:szCs w:val="20"/>
        </w:rPr>
        <w:t>‎50.15%‎</w:t>
      </w:r>
      <w:r>
        <w:rPr>
          <w:rFonts w:ascii="Arial" w:hAnsi="Arial" w:cs="Arial" w:eastAsia="Arial"/>
          <w:color w:val="0E1E3A"/>
          <w:sz w:val="20"/>
          <w:szCs w:val="20"/>
          <w:rtl/>
        </w:rPr>
        <w:t xml:space="preserve"> من سعر الوحدة عند الطرح.</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(مارس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الأول (31 مارس 2026م)</w:t>
            </w:r>
          </w:p>
        </w:tc>
        <w:tc>
          <w:tcPr>
            <w:tcW w:type="dxa" w:w="6860"/>
          </w:tcPr>
          <w:p>
            <w:pPr>
              <w:bidi w:val="1"/>
              <w:spacing w:before="0" w:after="0" w:line="276" w:lineRule="auto"/>
            </w:pPr>
            <w:r>
              <w:rPr>
                <w:rFonts w:ascii="Arial" w:hAnsi="Arial" w:cs="Arial" w:eastAsia="Arial"/>
                <w:b/>
                <w:bCs/>
                <w:color w:val="0E1E3A"/>
                <w:sz w:val="18"/>
                <w:szCs w:val="18"/>
                <w:rtl/>
              </w:rPr>
              <w:t>9.10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‎-9.45%‎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63,876,285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665,079,142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22.9x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الأول (مارس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2,649,856 ر.س.</w:t>
            </w:r>
          </w:p>
        </w:tc>
        <w:tc>
          <w:tcPr>
            <w:tcW w:type="dxa" w:w="3326"/>
          </w:tcPr>
          <w:p>
            <w:pPr>
              <w:bidi w:val="1"/>
              <w:spacing w:before="0" w:after="0" w:line="264" w:lineRule="auto"/>
            </w:pPr>
            <w:r>
              <w:rPr>
                <w:rFonts w:ascii="Arial" w:hAnsi="Arial" w:cs="Arial" w:eastAsia="Arial"/>
                <w:color w:val="0E1E3A"/>
                <w:sz w:val="17"/>
                <w:szCs w:val="17"/>
              </w:rPr>
              <w:t>‎0.38%‎</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نسبة مصاريف التعامل من متوسط صافي أصول الصندوق *</w:t>
            </w:r>
          </w:p>
        </w:tc>
        <w:tc>
          <w:tcPr>
            <w:tcW w:type="dxa" w:w="3326"/>
          </w:tcPr>
          <w:p>
            <w:pPr>
              <w:bidi w:val="1"/>
              <w:spacing w:before="0" w:after="0" w:line="264" w:lineRule="auto"/>
            </w:pPr>
            <w:r>
              <w:rPr>
                <w:rFonts w:ascii="Arial" w:hAnsi="Arial" w:cs="Arial" w:eastAsia="Arial"/>
                <w:color w:val="0E1E3A"/>
                <w:sz w:val="17"/>
                <w:szCs w:val="17"/>
                <w:rtl/>
              </w:rPr>
              <w:t>278,587 ر.س.</w:t>
            </w:r>
          </w:p>
        </w:tc>
        <w:tc>
          <w:tcPr>
            <w:tcW w:type="dxa" w:w="3326"/>
          </w:tcPr>
          <w:p>
            <w:pPr>
              <w:bidi w:val="1"/>
              <w:spacing w:before="0" w:after="0" w:line="264" w:lineRule="auto"/>
            </w:pPr>
            <w:r>
              <w:rPr>
                <w:rFonts w:ascii="Arial" w:hAnsi="Arial" w:cs="Arial" w:eastAsia="Arial"/>
                <w:color w:val="0E1E3A"/>
                <w:sz w:val="17"/>
                <w:szCs w:val="17"/>
              </w:rPr>
              <w:t>‎0.04%‎</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نسبة الأرباح الموزعة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19,162,886 ر.س.</w:t>
            </w:r>
          </w:p>
        </w:tc>
        <w:tc>
          <w:tcPr>
            <w:tcW w:type="dxa" w:w="3326"/>
          </w:tcPr>
          <w:p>
            <w:pPr>
              <w:bidi w:val="1"/>
              <w:spacing w:before="0" w:after="0" w:line="264" w:lineRule="auto"/>
            </w:pPr>
            <w:r>
              <w:rPr>
                <w:rFonts w:ascii="Arial" w:hAnsi="Arial" w:cs="Arial" w:eastAsia="Arial"/>
                <w:color w:val="0E1E3A"/>
                <w:sz w:val="17"/>
                <w:szCs w:val="17"/>
              </w:rPr>
              <w:t>‎2.88%‎</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*متوسط صافي أصول الصندوق للربع الأول = 695,445,454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 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3015784"/>
            <wp:docPr id="12" name="Picture 904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50"/>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الأول</w:t>
            </w:r>
          </w:p>
        </w:tc>
        <w:tc>
          <w:tcPr>
            <w:tcW w:type="dxa" w:w="6860"/>
          </w:tcPr>
          <w:p>
            <w:pPr>
              <w:bidi w:val="1"/>
              <w:spacing w:before="0" w:after="0" w:line="276" w:lineRule="auto"/>
            </w:pPr>
            <w:r>
              <w:rPr>
                <w:rFonts w:ascii="Arial" w:hAnsi="Arial" w:cs="Arial" w:eastAsia="Arial"/>
                <w:b/>
                <w:bCs/>
                <w:color w:val="0E1E3A"/>
                <w:sz w:val="18"/>
                <w:szCs w:val="18"/>
                <w:rtl/>
              </w:rPr>
              <w:t>19,162,886.00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الأول</w:t>
            </w:r>
          </w:p>
        </w:tc>
        <w:tc>
          <w:tcPr>
            <w:tcW w:type="dxa" w:w="6860"/>
          </w:tcPr>
          <w:p>
            <w:pPr>
              <w:bidi w:val="1"/>
              <w:spacing w:before="0" w:after="0" w:line="276" w:lineRule="auto"/>
            </w:pPr>
            <w:r>
              <w:rPr>
                <w:rFonts w:ascii="Arial" w:hAnsi="Arial" w:cs="Arial" w:eastAsia="Arial"/>
                <w:b/>
                <w:bCs/>
                <w:color w:val="0E1E3A"/>
                <w:sz w:val="18"/>
                <w:szCs w:val="18"/>
                <w:rtl/>
              </w:rPr>
              <w:t>63,876,285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الأول</w:t>
            </w:r>
          </w:p>
        </w:tc>
        <w:tc>
          <w:tcPr>
            <w:tcW w:type="dxa" w:w="6860"/>
          </w:tcPr>
          <w:p>
            <w:pPr>
              <w:bidi w:val="1"/>
              <w:spacing w:before="0" w:after="0" w:line="276" w:lineRule="auto"/>
            </w:pPr>
            <w:r>
              <w:rPr>
                <w:rFonts w:ascii="Arial" w:hAnsi="Arial" w:cs="Arial" w:eastAsia="Arial"/>
                <w:b/>
                <w:bCs/>
                <w:color w:val="0E1E3A"/>
                <w:sz w:val="18"/>
                <w:szCs w:val="18"/>
                <w:rtl/>
              </w:rPr>
              <w:t>0.30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‎2.88%‎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لمالكي الوحدات حسب سجل مالكي الوحدات بنهاية يوم الأحد 20 شعبان 1447 هـ الموافق 8 فبراير 2026م (نهاية تداول يوم الأربعاء 16 شعبان 1447 هـ الموافق 4 فبراير 2026م).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التوزيعات عن الفترة من 1 يوليو 2025م إلى 31 ديسمبر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 جغرافي):</w:t>
      </w:r>
    </w:p>
    <w:p>
      <w:pPr>
        <w:bidi w:val="1"/>
        <w:spacing w:before="0" w:after="80" w:line="240" w:lineRule="auto"/>
        <w:jc w:val="center"/>
      </w:pPr>
      <w:r>
        <w:drawing>
          <wp:inline xmlns:a="http://schemas.openxmlformats.org/drawingml/2006/main" xmlns:pic="http://schemas.openxmlformats.org/drawingml/2006/picture">
            <wp:extent cx="6336000" cy="3025297"/>
            <wp:docPr id="16" name="Picture 9053"/>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3025297"/>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883676"/>
            <wp:docPr id="17" name="Picture 9054"/>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الأول)</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‎-2.52%‎</w:t>
            </w:r>
          </w:p>
        </w:tc>
        <w:tc>
          <w:tcPr>
            <w:tcW w:type="dxa" w:w="1663"/>
          </w:tcPr>
          <w:p>
            <w:pPr>
              <w:bidi w:val="1"/>
              <w:spacing w:before="0" w:after="0" w:line="264" w:lineRule="auto"/>
            </w:pPr>
            <w:r>
              <w:rPr>
                <w:rFonts w:ascii="Arial" w:hAnsi="Arial" w:cs="Arial" w:eastAsia="Arial"/>
                <w:color w:val="0E1E3A"/>
                <w:sz w:val="17"/>
                <w:szCs w:val="17"/>
              </w:rPr>
              <w:t>‎-2.52%‎</w:t>
            </w:r>
          </w:p>
        </w:tc>
        <w:tc>
          <w:tcPr>
            <w:tcW w:type="dxa" w:w="1663"/>
          </w:tcPr>
          <w:p>
            <w:pPr>
              <w:bidi w:val="1"/>
              <w:spacing w:before="0" w:after="0" w:line="264" w:lineRule="auto"/>
            </w:pPr>
            <w:r>
              <w:rPr>
                <w:rFonts w:ascii="Arial" w:hAnsi="Arial" w:cs="Arial" w:eastAsia="Arial"/>
                <w:color w:val="0E1E3A"/>
                <w:sz w:val="17"/>
                <w:szCs w:val="17"/>
              </w:rPr>
              <w:t>‎20.75%‎</w:t>
            </w:r>
          </w:p>
        </w:tc>
        <w:tc>
          <w:tcPr>
            <w:tcW w:type="dxa" w:w="1663"/>
          </w:tcPr>
          <w:p>
            <w:pPr>
              <w:bidi w:val="1"/>
              <w:spacing w:before="0" w:after="0" w:line="264" w:lineRule="auto"/>
            </w:pPr>
            <w:r>
              <w:rPr>
                <w:rFonts w:ascii="Arial" w:hAnsi="Arial" w:cs="Arial" w:eastAsia="Arial"/>
                <w:color w:val="0E1E3A"/>
                <w:sz w:val="17"/>
                <w:szCs w:val="17"/>
              </w:rPr>
              <w:t>‎55.28%‎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‎-1.24%‎</w:t>
            </w:r>
          </w:p>
        </w:tc>
        <w:tc>
          <w:tcPr>
            <w:tcW w:type="dxa" w:w="1663"/>
          </w:tcPr>
          <w:p>
            <w:pPr>
              <w:bidi w:val="1"/>
              <w:spacing w:before="0" w:after="0" w:line="264" w:lineRule="auto"/>
            </w:pPr>
            <w:r>
              <w:rPr>
                <w:rFonts w:ascii="Arial" w:hAnsi="Arial" w:cs="Arial" w:eastAsia="Arial"/>
                <w:color w:val="0E1E3A"/>
                <w:sz w:val="17"/>
                <w:szCs w:val="17"/>
              </w:rPr>
              <w:t>‎-1.24%‎</w:t>
            </w:r>
          </w:p>
        </w:tc>
        <w:tc>
          <w:tcPr>
            <w:tcW w:type="dxa" w:w="1663"/>
          </w:tcPr>
          <w:p>
            <w:pPr>
              <w:bidi w:val="1"/>
              <w:spacing w:before="0" w:after="0" w:line="264" w:lineRule="auto"/>
            </w:pPr>
            <w:r>
              <w:rPr>
                <w:rFonts w:ascii="Arial" w:hAnsi="Arial" w:cs="Arial" w:eastAsia="Arial"/>
                <w:color w:val="0E1E3A"/>
                <w:sz w:val="17"/>
                <w:szCs w:val="17"/>
              </w:rPr>
              <w:t>‎23.53%‎</w:t>
            </w:r>
          </w:p>
        </w:tc>
        <w:tc>
          <w:tcPr>
            <w:tcW w:type="dxa" w:w="1663"/>
          </w:tcPr>
          <w:p>
            <w:pPr>
              <w:bidi w:val="1"/>
              <w:spacing w:before="0" w:after="0" w:line="264" w:lineRule="auto"/>
            </w:pPr>
            <w:r>
              <w:rPr>
                <w:rFonts w:ascii="Arial" w:hAnsi="Arial" w:cs="Arial" w:eastAsia="Arial"/>
                <w:color w:val="0E1E3A"/>
                <w:sz w:val="17"/>
                <w:szCs w:val="17"/>
              </w:rPr>
              <w:t>‎46.77%‎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‎-1.28%‎</w:t>
            </w:r>
          </w:p>
        </w:tc>
        <w:tc>
          <w:tcPr>
            <w:tcW w:type="dxa" w:w="1663"/>
          </w:tcPr>
          <w:p>
            <w:pPr>
              <w:bidi w:val="1"/>
              <w:spacing w:before="0" w:after="0" w:line="264" w:lineRule="auto"/>
            </w:pPr>
            <w:r>
              <w:rPr>
                <w:rFonts w:ascii="Arial" w:hAnsi="Arial" w:cs="Arial" w:eastAsia="Arial"/>
                <w:color w:val="0E1E3A"/>
                <w:sz w:val="17"/>
                <w:szCs w:val="17"/>
              </w:rPr>
              <w:t>‎-1.28%‎</w:t>
            </w:r>
          </w:p>
        </w:tc>
        <w:tc>
          <w:tcPr>
            <w:tcW w:type="dxa" w:w="1663"/>
          </w:tcPr>
          <w:p>
            <w:pPr>
              <w:bidi w:val="1"/>
              <w:spacing w:before="0" w:after="0" w:line="264" w:lineRule="auto"/>
            </w:pPr>
            <w:r>
              <w:rPr>
                <w:rFonts w:ascii="Arial" w:hAnsi="Arial" w:cs="Arial" w:eastAsia="Arial"/>
                <w:color w:val="0E1E3A"/>
                <w:sz w:val="17"/>
                <w:szCs w:val="17"/>
              </w:rPr>
              <w:t>‎-2.77%‎</w:t>
            </w:r>
          </w:p>
        </w:tc>
        <w:tc>
          <w:tcPr>
            <w:tcW w:type="dxa" w:w="1663"/>
          </w:tcPr>
          <w:p>
            <w:pPr>
              <w:bidi w:val="1"/>
              <w:spacing w:before="0" w:after="0" w:line="264" w:lineRule="auto"/>
            </w:pPr>
            <w:r>
              <w:rPr>
                <w:rFonts w:ascii="Arial" w:hAnsi="Arial" w:cs="Arial" w:eastAsia="Arial"/>
                <w:color w:val="0E1E3A"/>
                <w:sz w:val="17"/>
                <w:szCs w:val="17"/>
              </w:rPr>
              <w:t>‎8.51%‎</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الأول)</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14.27</w:t>
            </w:r>
          </w:p>
        </w:tc>
        <w:tc>
          <w:tcPr>
            <w:tcW w:type="dxa" w:w="1663"/>
          </w:tcPr>
          <w:p>
            <w:pPr>
              <w:bidi w:val="1"/>
              <w:spacing w:before="0" w:after="0" w:line="264" w:lineRule="auto"/>
            </w:pPr>
            <w:r>
              <w:rPr>
                <w:rFonts w:ascii="Arial" w:hAnsi="Arial" w:cs="Arial" w:eastAsia="Arial"/>
                <w:color w:val="0E1E3A"/>
                <w:sz w:val="17"/>
                <w:szCs w:val="17"/>
                <w:rtl/>
              </w:rPr>
              <w:t>14.27</w:t>
            </w:r>
          </w:p>
        </w:tc>
        <w:tc>
          <w:tcPr>
            <w:tcW w:type="dxa" w:w="1663"/>
          </w:tcPr>
          <w:p>
            <w:pPr>
              <w:bidi w:val="1"/>
              <w:spacing w:before="0" w:after="0" w:line="264" w:lineRule="auto"/>
            </w:pPr>
            <w:r>
              <w:rPr>
                <w:rFonts w:ascii="Arial" w:hAnsi="Arial" w:cs="Arial" w:eastAsia="Arial"/>
                <w:color w:val="0E1E3A"/>
                <w:sz w:val="17"/>
                <w:szCs w:val="17"/>
                <w:rtl/>
              </w:rPr>
              <w:t>15.23</w:t>
            </w:r>
          </w:p>
        </w:tc>
        <w:tc>
          <w:tcPr>
            <w:tcW w:type="dxa" w:w="1663"/>
          </w:tcPr>
          <w:p>
            <w:pPr>
              <w:bidi w:val="1"/>
              <w:spacing w:before="0" w:after="0" w:line="264" w:lineRule="auto"/>
            </w:pPr>
            <w:r>
              <w:rPr>
                <w:rFonts w:ascii="Arial" w:hAnsi="Arial" w:cs="Arial" w:eastAsia="Arial"/>
                <w:color w:val="0E1E3A"/>
                <w:sz w:val="17"/>
                <w:szCs w:val="17"/>
                <w:rtl/>
              </w:rPr>
              <w:t>12.58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-1.09</w:t>
            </w:r>
          </w:p>
        </w:tc>
        <w:tc>
          <w:tcPr>
            <w:tcW w:type="dxa" w:w="1663"/>
          </w:tcPr>
          <w:p>
            <w:pPr>
              <w:bidi w:val="1"/>
              <w:spacing w:before="0" w:after="0" w:line="264" w:lineRule="auto"/>
            </w:pPr>
            <w:r>
              <w:rPr>
                <w:rFonts w:ascii="Arial" w:hAnsi="Arial" w:cs="Arial" w:eastAsia="Arial"/>
                <w:color w:val="0E1E3A"/>
                <w:sz w:val="17"/>
                <w:szCs w:val="17"/>
                <w:rtl/>
              </w:rPr>
              <w:t>-1.09</w:t>
            </w:r>
          </w:p>
        </w:tc>
        <w:tc>
          <w:tcPr>
            <w:tcW w:type="dxa" w:w="1663"/>
          </w:tcPr>
          <w:p>
            <w:pPr>
              <w:bidi w:val="1"/>
              <w:spacing w:before="0" w:after="0" w:line="264" w:lineRule="auto"/>
            </w:pPr>
            <w:r>
              <w:rPr>
                <w:rFonts w:ascii="Arial" w:hAnsi="Arial" w:cs="Arial" w:eastAsia="Arial"/>
                <w:color w:val="0E1E3A"/>
                <w:sz w:val="17"/>
                <w:szCs w:val="17"/>
                <w:rtl/>
              </w:rPr>
              <w:t>1.10</w:t>
            </w:r>
          </w:p>
        </w:tc>
        <w:tc>
          <w:tcPr>
            <w:tcW w:type="dxa" w:w="1663"/>
          </w:tcPr>
          <w:p>
            <w:pPr>
              <w:bidi w:val="1"/>
              <w:spacing w:before="0" w:after="0" w:line="264" w:lineRule="auto"/>
            </w:pPr>
            <w:r>
              <w:rPr>
                <w:rFonts w:ascii="Arial" w:hAnsi="Arial" w:cs="Arial" w:eastAsia="Arial"/>
                <w:color w:val="0E1E3A"/>
                <w:sz w:val="17"/>
                <w:szCs w:val="17"/>
                <w:rtl/>
              </w:rPr>
              <w:t>0.82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2.45</w:t>
            </w:r>
          </w:p>
        </w:tc>
        <w:tc>
          <w:tcPr>
            <w:tcW w:type="dxa" w:w="1663"/>
          </w:tcPr>
          <w:p>
            <w:pPr>
              <w:bidi w:val="1"/>
              <w:spacing w:before="0" w:after="0" w:line="264" w:lineRule="auto"/>
            </w:pPr>
            <w:r>
              <w:rPr>
                <w:rFonts w:ascii="Arial" w:hAnsi="Arial" w:cs="Arial" w:eastAsia="Arial"/>
                <w:color w:val="0E1E3A"/>
                <w:sz w:val="17"/>
                <w:szCs w:val="17"/>
                <w:rtl/>
              </w:rPr>
              <w:t>2.45</w:t>
            </w:r>
          </w:p>
        </w:tc>
        <w:tc>
          <w:tcPr>
            <w:tcW w:type="dxa" w:w="1663"/>
          </w:tcPr>
          <w:p>
            <w:pPr>
              <w:bidi w:val="1"/>
              <w:spacing w:before="0" w:after="0" w:line="264" w:lineRule="auto"/>
            </w:pPr>
            <w:r>
              <w:rPr>
                <w:rFonts w:ascii="Arial" w:hAnsi="Arial" w:cs="Arial" w:eastAsia="Arial"/>
                <w:color w:val="0E1E3A"/>
                <w:sz w:val="17"/>
                <w:szCs w:val="17"/>
                <w:rtl/>
              </w:rPr>
              <w:t>2.85</w:t>
            </w:r>
          </w:p>
        </w:tc>
        <w:tc>
          <w:tcPr>
            <w:tcW w:type="dxa" w:w="1663"/>
          </w:tcPr>
          <w:p>
            <w:pPr>
              <w:bidi w:val="1"/>
              <w:spacing w:before="0" w:after="0" w:line="264" w:lineRule="auto"/>
            </w:pPr>
            <w:r>
              <w:rPr>
                <w:rFonts w:ascii="Arial" w:hAnsi="Arial" w:cs="Arial" w:eastAsia="Arial"/>
                <w:color w:val="0E1E3A"/>
                <w:sz w:val="17"/>
                <w:szCs w:val="17"/>
                <w:rtl/>
              </w:rPr>
              <w:t>5.82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1.01</w:t>
            </w:r>
          </w:p>
        </w:tc>
        <w:tc>
          <w:tcPr>
            <w:tcW w:type="dxa" w:w="1663"/>
          </w:tcPr>
          <w:p>
            <w:pPr>
              <w:bidi w:val="1"/>
              <w:spacing w:before="0" w:after="0" w:line="264" w:lineRule="auto"/>
            </w:pPr>
            <w:r>
              <w:rPr>
                <w:rFonts w:ascii="Arial" w:hAnsi="Arial" w:cs="Arial" w:eastAsia="Arial"/>
                <w:color w:val="0E1E3A"/>
                <w:sz w:val="17"/>
                <w:szCs w:val="17"/>
                <w:rtl/>
              </w:rPr>
              <w:t>1.01</w:t>
            </w:r>
          </w:p>
        </w:tc>
        <w:tc>
          <w:tcPr>
            <w:tcW w:type="dxa" w:w="1663"/>
          </w:tcPr>
          <w:p>
            <w:pPr>
              <w:bidi w:val="1"/>
              <w:spacing w:before="0" w:after="0" w:line="264" w:lineRule="auto"/>
            </w:pPr>
            <w:r>
              <w:rPr>
                <w:rFonts w:ascii="Arial" w:hAnsi="Arial" w:cs="Arial" w:eastAsia="Arial"/>
                <w:color w:val="0E1E3A"/>
                <w:sz w:val="17"/>
                <w:szCs w:val="17"/>
                <w:rtl/>
              </w:rPr>
              <w:t>0.97</w:t>
            </w:r>
          </w:p>
        </w:tc>
        <w:tc>
          <w:tcPr>
            <w:tcW w:type="dxa" w:w="1663"/>
          </w:tcPr>
          <w:p>
            <w:pPr>
              <w:bidi w:val="1"/>
              <w:spacing w:before="0" w:after="0" w:line="264" w:lineRule="auto"/>
            </w:pPr>
            <w:r>
              <w:rPr>
                <w:rFonts w:ascii="Arial" w:hAnsi="Arial" w:cs="Arial" w:eastAsia="Arial"/>
                <w:color w:val="0E1E3A"/>
                <w:sz w:val="17"/>
                <w:szCs w:val="17"/>
                <w:rtl/>
              </w:rPr>
              <w:t>0.91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‎-5.36%‎</w:t>
            </w:r>
          </w:p>
        </w:tc>
        <w:tc>
          <w:tcPr>
            <w:tcW w:type="dxa" w:w="1663"/>
          </w:tcPr>
          <w:p>
            <w:pPr>
              <w:bidi w:val="1"/>
              <w:spacing w:before="0" w:after="0" w:line="264" w:lineRule="auto"/>
            </w:pPr>
            <w:r>
              <w:rPr>
                <w:rFonts w:ascii="Arial" w:hAnsi="Arial" w:cs="Arial" w:eastAsia="Arial"/>
                <w:color w:val="0E1E3A"/>
                <w:sz w:val="17"/>
                <w:szCs w:val="17"/>
              </w:rPr>
              <w:t>‎-5.36%‎</w:t>
            </w:r>
          </w:p>
        </w:tc>
        <w:tc>
          <w:tcPr>
            <w:tcW w:type="dxa" w:w="1663"/>
          </w:tcPr>
          <w:p>
            <w:pPr>
              <w:bidi w:val="1"/>
              <w:spacing w:before="0" w:after="0" w:line="264" w:lineRule="auto"/>
            </w:pPr>
            <w:r>
              <w:rPr>
                <w:rFonts w:ascii="Arial" w:hAnsi="Arial" w:cs="Arial" w:eastAsia="Arial"/>
                <w:color w:val="0E1E3A"/>
                <w:sz w:val="17"/>
                <w:szCs w:val="17"/>
              </w:rPr>
              <w:t>‎-2.11%‎</w:t>
            </w:r>
          </w:p>
        </w:tc>
        <w:tc>
          <w:tcPr>
            <w:tcW w:type="dxa" w:w="1663"/>
          </w:tcPr>
          <w:p>
            <w:pPr>
              <w:bidi w:val="1"/>
              <w:spacing w:before="0" w:after="0" w:line="264" w:lineRule="auto"/>
            </w:pPr>
            <w:r>
              <w:rPr>
                <w:rFonts w:ascii="Arial" w:hAnsi="Arial" w:cs="Arial" w:eastAsia="Arial"/>
                <w:color w:val="0E1E3A"/>
                <w:sz w:val="17"/>
                <w:szCs w:val="17"/>
              </w:rPr>
              <w:t>‎1.75%‎</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-2.19</w:t>
            </w:r>
          </w:p>
        </w:tc>
        <w:tc>
          <w:tcPr>
            <w:tcW w:type="dxa" w:w="1663"/>
          </w:tcPr>
          <w:p>
            <w:pPr>
              <w:bidi w:val="1"/>
              <w:spacing w:before="0" w:after="0" w:line="264" w:lineRule="auto"/>
            </w:pPr>
            <w:r>
              <w:rPr>
                <w:rFonts w:ascii="Arial" w:hAnsi="Arial" w:cs="Arial" w:eastAsia="Arial"/>
                <w:color w:val="0E1E3A"/>
                <w:sz w:val="17"/>
                <w:szCs w:val="17"/>
                <w:rtl/>
              </w:rPr>
              <w:t>-2.19</w:t>
            </w:r>
          </w:p>
        </w:tc>
        <w:tc>
          <w:tcPr>
            <w:tcW w:type="dxa" w:w="1663"/>
          </w:tcPr>
          <w:p>
            <w:pPr>
              <w:bidi w:val="1"/>
              <w:spacing w:before="0" w:after="0" w:line="264" w:lineRule="auto"/>
            </w:pPr>
            <w:r>
              <w:rPr>
                <w:rFonts w:ascii="Arial" w:hAnsi="Arial" w:cs="Arial" w:eastAsia="Arial"/>
                <w:color w:val="0E1E3A"/>
                <w:sz w:val="17"/>
                <w:szCs w:val="17"/>
                <w:rtl/>
              </w:rPr>
              <w:t>-0.74</w:t>
            </w:r>
          </w:p>
        </w:tc>
        <w:tc>
          <w:tcPr>
            <w:tcW w:type="dxa" w:w="1663"/>
          </w:tcPr>
          <w:p>
            <w:pPr>
              <w:bidi w:val="1"/>
              <w:spacing w:before="0" w:after="0" w:line="264" w:lineRule="auto"/>
            </w:pPr>
            <w:r>
              <w:rPr>
                <w:rFonts w:ascii="Arial" w:hAnsi="Arial" w:cs="Arial" w:eastAsia="Arial"/>
                <w:color w:val="0E1E3A"/>
                <w:sz w:val="17"/>
                <w:szCs w:val="17"/>
                <w:rtl/>
              </w:rPr>
              <w:t>0.30</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2" name="Picture 9059"/>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مارس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60"/>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الأول 2026م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