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8"/>
            <wp:cNvGraphicFramePr/>
            <a:graphic>
              <a:graphicData uri="http://schemas.openxmlformats.org/drawingml/2006/picture">
                <pic:pic>
                  <pic:nvPicPr>
                    <pic:cNvPr id="9038" name="banner9038.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9"/>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a)</w:t>
      </w:r>
      <w:r>
        <w:rPr>
          <w:rFonts w:ascii="Arial" w:hAnsi="Arial" w:cs="Arial" w:eastAsia="Arial"/>
          <w:b/>
          <w:bCs/>
          <w:color w:val="3B7DD8"/>
          <w:sz w:val="26"/>
          <w:szCs w:val="26"/>
        </w:rPr>
        <w:t xml:space="preserve">  </w:t>
      </w:r>
      <w:r>
        <w:rPr>
          <w:rFonts w:ascii="Arial" w:hAnsi="Arial" w:cs="Arial" w:eastAsia="Arial"/>
          <w:b/>
          <w:bCs/>
          <w:color w:val="12284B"/>
          <w:sz w:val="26"/>
          <w:szCs w:val="26"/>
        </w:rPr>
        <w:t>Fund Objective:</w:t>
      </w:r>
    </w:p>
    <w:p>
      <w:pPr>
        <w:spacing w:before="0" w:after="80" w:line="312" w:lineRule="auto"/>
      </w:pPr>
      <w:r>
        <w:rPr>
          <w:rFonts w:ascii="Arial" w:hAnsi="Arial" w:cs="Arial" w:eastAsia="Arial"/>
          <w:color w:val="0E1E3A"/>
          <w:sz w:val="20"/>
          <w:szCs w:val="20"/>
        </w:rPr>
        <w:t>The Fund Manager focuses on investing in a diversified portfolio of global equities. The Fund's investments include investing in shares of companies in all sectors, traded on global exchanges in countries such as Saudi Arabia, USA, China, Japan, Switzerland, UK, France, Germany and Canada. Investing on these exchanges will be in the currency of each country. In addition, the Fund Manager will invest in public and private equity funds managed by fund managers licensed by the Capital Market Authority (CMA) or a similar authority when investing abroad. These funds will include corporate shares of different market values in diverse geographies and sectors. The Fund Manager also intends to invest in intial public offerings (IPOs) listed on different stock exchanges, in addition to subscribing for capital increases of listed companies, as well as unlisted companies planning IPOs, by subscribing for planned IPOs, and investing in cash and cash equivalents in compliance with Shari'ah principles, to achieve long term growth and generate periodic income from the returns on equity shares and capital gain.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b)</w:t>
      </w:r>
      <w:r>
        <w:rPr>
          <w:rFonts w:ascii="Arial" w:hAnsi="Arial" w:cs="Arial" w:eastAsia="Arial"/>
          <w:b/>
          <w:bCs/>
          <w:color w:val="3B7DD8"/>
          <w:sz w:val="26"/>
          <w:szCs w:val="26"/>
        </w:rP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10.4120</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w:t>
            </w:r>
          </w:p>
        </w:tc>
        <w:tc>
          <w:tcPr>
            <w:tcW w:type="dxa" w:w="6860"/>
          </w:tcPr>
          <w:p>
            <w:pPr>
              <w:spacing w:before="0" w:after="0" w:line="276" w:lineRule="auto"/>
            </w:pPr>
            <w:r>
              <w:rPr>
                <w:rFonts w:ascii="Arial" w:hAnsi="Arial" w:cs="Arial" w:eastAsia="Arial"/>
                <w:b/>
                <w:bCs/>
                <w:color w:val="0E1E3A"/>
                <w:sz w:val="18"/>
                <w:szCs w:val="18"/>
              </w:rPr>
              <w:t>SAR 667,679,247</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Riyal</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Frequency of Dividend Distribution (if any)</w:t>
            </w:r>
          </w:p>
        </w:tc>
        <w:tc>
          <w:tcPr>
            <w:tcW w:type="dxa" w:w="6860"/>
          </w:tcPr>
          <w:p>
            <w:pPr>
              <w:spacing w:before="0" w:after="0" w:line="276" w:lineRule="auto"/>
            </w:pPr>
            <w:r>
              <w:rPr>
                <w:rFonts w:ascii="Arial" w:hAnsi="Arial" w:cs="Arial" w:eastAsia="Arial"/>
                <w:b/>
                <w:bCs/>
                <w:color w:val="0E1E3A"/>
                <w:sz w:val="18"/>
                <w:szCs w:val="18"/>
              </w:rPr>
              <w:t>Semi Annual</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Management Fees of Underlying Funds</w:t>
            </w:r>
          </w:p>
        </w:tc>
        <w:tc>
          <w:tcPr>
            <w:tcW w:type="dxa" w:w="6860"/>
          </w:tcPr>
          <w:p>
            <w:pPr>
              <w:spacing w:before="0" w:after="0" w:line="276" w:lineRule="auto"/>
            </w:pPr>
            <w:r>
              <w:rPr>
                <w:rFonts w:ascii="Arial" w:hAnsi="Arial" w:cs="Arial" w:eastAsia="Arial"/>
                <w:b/>
                <w:bCs/>
                <w:color w:val="0E1E3A"/>
                <w:sz w:val="18"/>
                <w:szCs w:val="18"/>
              </w:rPr>
              <w:t>0.05%</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 (if any)</w:t>
            </w:r>
          </w:p>
        </w:tc>
        <w:tc>
          <w:tcPr>
            <w:tcW w:type="dxa" w:w="6860"/>
          </w:tcPr>
          <w:p>
            <w:pPr>
              <w:spacing w:before="0" w:after="0" w:line="276" w:lineRule="auto"/>
            </w:pPr>
            <w:r>
              <w:rPr>
                <w:rFonts w:ascii="Arial" w:hAnsi="Arial" w:cs="Arial" w:eastAsia="Arial"/>
                <w:b/>
                <w:bCs/>
                <w:color w:val="0E1E3A"/>
                <w:sz w:val="18"/>
                <w:szCs w:val="18"/>
              </w:rPr>
              <w:t>90 days</w:t>
            </w:r>
          </w:p>
        </w:tc>
      </w:tr>
    </w:tbl>
    <w:p>
      <w:pPr>
        <w:spacing w:before="0" w:after="40" w:line="300" w:lineRule="auto"/>
      </w:pPr>
    </w:p>
    <w:p>
      <w:pPr>
        <w:spacing w:before="0" w:after="80" w:line="312" w:lineRule="auto"/>
      </w:pPr>
      <w:r>
        <w:rPr>
          <w:rFonts w:ascii="Arial" w:hAnsi="Arial" w:cs="Arial" w:eastAsia="Arial"/>
          <w:color w:val="5A6478"/>
          <w:sz w:val="17"/>
          <w:szCs w:val="17"/>
        </w:rPr>
        <w:t>* Fund Total Assets as at 31 March 2026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c)</w:t>
      </w:r>
      <w:r>
        <w:rPr>
          <w:rFonts w:ascii="Arial" w:hAnsi="Arial" w:cs="Arial" w:eastAsia="Arial"/>
          <w:b/>
          <w:bCs/>
          <w:color w:val="3B7DD8"/>
          <w:sz w:val="26"/>
          <w:szCs w:val="26"/>
        </w:rPr>
        <w:t xml:space="preserve">  </w:t>
      </w:r>
      <w:r>
        <w:rPr>
          <w:rFonts w:ascii="Arial" w:hAnsi="Arial" w:cs="Arial" w:eastAsia="Arial"/>
          <w:b/>
          <w:bCs/>
          <w:color w:val="12284B"/>
          <w:sz w:val="26"/>
          <w:szCs w:val="26"/>
        </w:rPr>
        <w:t>Definitions: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Standard Deviation</w:t>
            </w:r>
          </w:p>
        </w:tc>
        <w:tc>
          <w:tcPr>
            <w:tcW w:type="dxa" w:w="6860"/>
          </w:tcPr>
          <w:p>
            <w:pPr>
              <w:spacing w:before="0" w:after="0" w:line="276" w:lineRule="auto"/>
            </w:pPr>
            <w:r>
              <w:rPr>
                <w:rFonts w:ascii="Arial" w:hAnsi="Arial" w:cs="Arial" w:eastAsia="Arial"/>
                <w:b/>
                <w:bCs/>
                <w:color w:val="0E1E3A"/>
                <w:sz w:val="18"/>
                <w:szCs w:val="18"/>
              </w:rPr>
              <w:t>Standard Deviation is a measure of risk. It is calculated as any volatility in returns over a period of time. The lower the volatility, the more homogeneous the set of returns.</w:t>
            </w:r>
          </w:p>
        </w:tc>
      </w:tr>
      <w:tr>
        <w:tc>
          <w:tcPr>
            <w:tcW w:type="dxa" w:w="3118"/>
            <w:shd w:val="clear" w:color="auto" w:fill="F3F6FB"/>
          </w:tcPr>
          <w:p>
            <w:pPr>
              <w:spacing w:before="0" w:after="0" w:line="276" w:lineRule="auto"/>
            </w:pPr>
            <w:r>
              <w:rPr>
                <w:rFonts w:ascii="Arial" w:hAnsi="Arial" w:cs="Arial" w:eastAsia="Arial"/>
                <w:color w:val="5A6478"/>
                <w:sz w:val="18"/>
                <w:szCs w:val="18"/>
              </w:rPr>
              <w:t>Sharpe Ratio</w:t>
            </w:r>
          </w:p>
        </w:tc>
        <w:tc>
          <w:tcPr>
            <w:tcW w:type="dxa" w:w="6860"/>
          </w:tcPr>
          <w:p>
            <w:pPr>
              <w:spacing w:before="0" w:after="0" w:line="276" w:lineRule="auto"/>
            </w:pPr>
            <w:r>
              <w:rPr>
                <w:rFonts w:ascii="Arial" w:hAnsi="Arial" w:cs="Arial" w:eastAsia="Arial"/>
                <w:b/>
                <w:bCs/>
                <w:color w:val="0E1E3A"/>
                <w:sz w:val="18"/>
                <w:szCs w:val="18"/>
              </w:rPr>
              <w:t>Sharpe Ratio is a risk-adjusted performance measure. It is calculated as the difference of the Fund Manager excess return over the risk-free rate, divided by the Standard Deviation. The greater a portfolio's Sharpe Ratio, the better its risk-adjusted performance.</w:t>
            </w:r>
          </w:p>
        </w:tc>
      </w:tr>
      <w:tr>
        <w:tc>
          <w:tcPr>
            <w:tcW w:type="dxa" w:w="3118"/>
            <w:shd w:val="clear" w:color="auto" w:fill="F3F6FB"/>
          </w:tcPr>
          <w:p>
            <w:pPr>
              <w:spacing w:before="0" w:after="0" w:line="276" w:lineRule="auto"/>
            </w:pPr>
            <w:r>
              <w:rPr>
                <w:rFonts w:ascii="Arial" w:hAnsi="Arial" w:cs="Arial" w:eastAsia="Arial"/>
                <w:color w:val="5A6478"/>
                <w:sz w:val="18"/>
                <w:szCs w:val="18"/>
              </w:rPr>
              <w:t>Tracking Error</w:t>
            </w:r>
          </w:p>
        </w:tc>
        <w:tc>
          <w:tcPr>
            <w:tcW w:type="dxa" w:w="6860"/>
          </w:tcPr>
          <w:p>
            <w:pPr>
              <w:spacing w:before="0" w:after="0" w:line="276" w:lineRule="auto"/>
            </w:pPr>
            <w:r>
              <w:rPr>
                <w:rFonts w:ascii="Arial" w:hAnsi="Arial" w:cs="Arial" w:eastAsia="Arial"/>
                <w:b/>
                <w:bCs/>
                <w:color w:val="0E1E3A"/>
                <w:sz w:val="18"/>
                <w:szCs w:val="18"/>
              </w:rPr>
              <w:t>Tracking Error is a measure of risks. It is calculated as the Standard Deviation between the Fund Manager's return and the Benchmark's return. The lower the Tracking Error, the lower the tracking error the Fund Manager deviates from the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Beta</w:t>
            </w:r>
          </w:p>
        </w:tc>
        <w:tc>
          <w:tcPr>
            <w:tcW w:type="dxa" w:w="6860"/>
          </w:tcPr>
          <w:p>
            <w:pPr>
              <w:spacing w:before="0" w:after="0" w:line="276" w:lineRule="auto"/>
            </w:pPr>
            <w:r>
              <w:rPr>
                <w:rFonts w:ascii="Arial" w:hAnsi="Arial" w:cs="Arial" w:eastAsia="Arial"/>
                <w:b/>
                <w:bCs/>
                <w:color w:val="0E1E3A"/>
                <w:sz w:val="18"/>
                <w:szCs w:val="18"/>
              </w:rPr>
              <w:t>Beta is a measure of the average historical sensitivity of the Fund's returns compared to market returns. It is calculated by using the covariance of the Fund’s unit price and the market index by the variance of the market,</w:t>
            </w:r>
          </w:p>
        </w:tc>
      </w:tr>
      <w:tr>
        <w:tc>
          <w:tcPr>
            <w:tcW w:type="dxa" w:w="3118"/>
            <w:shd w:val="clear" w:color="auto" w:fill="F3F6FB"/>
          </w:tcPr>
          <w:p>
            <w:pPr>
              <w:spacing w:before="0" w:after="0" w:line="276" w:lineRule="auto"/>
            </w:pPr>
            <w:r>
              <w:rPr>
                <w:rFonts w:ascii="Arial" w:hAnsi="Arial" w:cs="Arial" w:eastAsia="Arial"/>
                <w:color w:val="5A6478"/>
                <w:sz w:val="18"/>
                <w:szCs w:val="18"/>
              </w:rPr>
              <w:t>Alpha</w:t>
            </w:r>
          </w:p>
        </w:tc>
        <w:tc>
          <w:tcPr>
            <w:tcW w:type="dxa" w:w="6860"/>
          </w:tcPr>
          <w:p>
            <w:pPr>
              <w:spacing w:before="0" w:after="0" w:line="276" w:lineRule="auto"/>
            </w:pPr>
            <w:r>
              <w:rPr>
                <w:rFonts w:ascii="Arial" w:hAnsi="Arial" w:cs="Arial" w:eastAsia="Arial"/>
                <w:b/>
                <w:bCs/>
                <w:color w:val="0E1E3A"/>
                <w:sz w:val="18"/>
                <w:szCs w:val="18"/>
              </w:rPr>
              <w:t>Alpha measures any excess return achieved by the Fund compared to the performance of the index.</w:t>
            </w:r>
          </w:p>
        </w:tc>
      </w:tr>
      <w:tr>
        <w:tc>
          <w:tcPr>
            <w:tcW w:type="dxa" w:w="3118"/>
            <w:shd w:val="clear" w:color="auto" w:fill="F3F6FB"/>
          </w:tcPr>
          <w:p>
            <w:pPr>
              <w:spacing w:before="0" w:after="0" w:line="276" w:lineRule="auto"/>
            </w:pPr>
            <w:r>
              <w:rPr>
                <w:rFonts w:ascii="Arial" w:hAnsi="Arial" w:cs="Arial" w:eastAsia="Arial"/>
                <w:color w:val="5A6478"/>
                <w:sz w:val="18"/>
                <w:szCs w:val="18"/>
              </w:rPr>
              <w:t>Information Ratio</w:t>
            </w:r>
          </w:p>
        </w:tc>
        <w:tc>
          <w:tcPr>
            <w:tcW w:type="dxa" w:w="6860"/>
          </w:tcPr>
          <w:p>
            <w:pPr>
              <w:spacing w:before="0" w:after="0" w:line="276" w:lineRule="auto"/>
            </w:pPr>
            <w:r>
              <w:rPr>
                <w:rFonts w:ascii="Arial" w:hAnsi="Arial" w:cs="Arial" w:eastAsia="Arial"/>
                <w:b/>
                <w:bCs/>
                <w:color w:val="0E1E3A"/>
                <w:sz w:val="18"/>
                <w:szCs w:val="18"/>
              </w:rPr>
              <w:t>Information Ratio is a risk-adjusted performance measure. It is calculated as the active return of the Fund Manager, divided by its tracking error. The higher the Information ratio, the higher the Fund Manager ability to generate excess returns per Unit of excess risk.</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5"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d)</w:t>
      </w:r>
      <w:r>
        <w:rPr>
          <w:rFonts w:ascii="Arial" w:hAnsi="Arial" w:cs="Arial" w:eastAsia="Arial"/>
          <w:b/>
          <w:bCs/>
          <w:color w:val="3B7DD8"/>
          <w:sz w:val="26"/>
          <w:szCs w:val="26"/>
        </w:rPr>
        <w:t xml:space="preserve">  </w:t>
      </w:r>
      <w:r>
        <w:rPr>
          <w:rFonts w:ascii="Arial" w:hAnsi="Arial" w:cs="Arial" w:eastAsia="Arial"/>
          <w:b/>
          <w:bCs/>
          <w:color w:val="12284B"/>
          <w:sz w:val="26"/>
          <w:szCs w:val="26"/>
        </w:rPr>
        <w:t>Fund Manager's Commentary:</w:t>
      </w:r>
    </w:p>
    <w:p>
      <w:pPr>
        <w:pStyle w:val="Heading3"/>
        <w:keepNext/>
        <w:spacing w:before="160" w:after="100" w:line="300" w:lineRule="auto"/>
      </w:pPr>
      <w:r>
        <w:rPr>
          <w:rFonts w:ascii="Arial" w:hAnsi="Arial" w:cs="Arial" w:eastAsia="Arial"/>
          <w:b/>
          <w:bCs/>
          <w:color w:val="12284B"/>
          <w:sz w:val="22"/>
          <w:szCs w:val="22"/>
        </w:rPr>
        <w:t>Overview of Global Markets</w:t>
      </w:r>
    </w:p>
    <w:p>
      <w:pPr>
        <w:spacing w:before="0" w:after="80" w:line="312" w:lineRule="auto"/>
      </w:pPr>
      <w:r>
        <w:rPr>
          <w:rFonts w:ascii="Arial" w:hAnsi="Arial" w:cs="Arial" w:eastAsia="Arial"/>
          <w:color w:val="0E1E3A"/>
          <w:sz w:val="20"/>
          <w:szCs w:val="20"/>
        </w:rPr>
        <w:t>Global equity markets ended the first quarter of 2026 on a weaker note due to elevated geopolitical tensions in the Middle East, trade policy uncertainty, higher energy prices, and a more cautious assessment of the global interest rate outlook. Market sentiment became more defensive during the quarter as volatility increased across asset classes. The Alkhabeer Global Equities Index was down 3.49% during the first quarter of 2026, reflecting the softer tone across global equity markets during the period.</w:t>
      </w:r>
    </w:p>
    <w:p>
      <w:pPr>
        <w:spacing w:before="0" w:after="80" w:line="312" w:lineRule="auto"/>
      </w:pPr>
      <w:r>
        <w:rPr>
          <w:rFonts w:ascii="Arial" w:hAnsi="Arial" w:cs="Arial" w:eastAsia="Arial"/>
          <w:color w:val="0E1E3A"/>
          <w:sz w:val="20"/>
          <w:szCs w:val="20"/>
        </w:rPr>
        <w:t>The U.S. economy continued to show signs of moderation, with unemployment at 4.4% in February and inflation at 2.4% year-on-year in February. During March, the U.S. Federal Reserve maintained interest rates at 3.50% to 3.75%, holding steady after three rate cuts in 2025, and noted that economic activity had continued to expand at a solid pace, while inflation remained somewhat elevated.</w:t>
      </w:r>
    </w:p>
    <w:p>
      <w:pPr>
        <w:spacing w:before="0" w:after="80" w:line="312" w:lineRule="auto"/>
      </w:pPr>
      <w:r>
        <w:rPr>
          <w:rFonts w:ascii="Arial" w:hAnsi="Arial" w:cs="Arial" w:eastAsia="Arial"/>
          <w:color w:val="0E1E3A"/>
          <w:sz w:val="20"/>
          <w:szCs w:val="20"/>
        </w:rPr>
        <w:t>In Europe, the macro-outlook remained mixed, with growth projections revised lower and inflation expectations revised higher amid higher energy prices and external uncertainty. Emerging markets faced pressure from geopolitical uncertainty despite attractive valuations and strong earnings growth expectations.</w:t>
      </w:r>
    </w:p>
    <w:p>
      <w:pPr>
        <w:spacing w:before="0" w:after="80" w:line="312" w:lineRule="auto"/>
      </w:pPr>
      <w:r>
        <w:rPr>
          <w:rFonts w:ascii="Arial" w:hAnsi="Arial" w:cs="Arial" w:eastAsia="Arial"/>
          <w:color w:val="0E1E3A"/>
          <w:sz w:val="20"/>
          <w:szCs w:val="20"/>
        </w:rPr>
        <w:t>Geopolitical developments, commodity price volatility, and trade policy uncertainty may contribute to continued volatility in equity markets. Further progress in moderating inflation and measured central bank policy adjustments could provide additional stability to equity markets in the periods ahead, subject to a de-escalation in geopolitical tensions.</w:t>
      </w:r>
    </w:p>
    <w:p>
      <w:pPr>
        <w:spacing w:before="0" w:after="80" w:line="312" w:lineRule="auto"/>
      </w:pPr>
      <w:r>
        <w:rPr>
          <w:rFonts w:ascii="Arial" w:hAnsi="Arial" w:cs="Arial" w:eastAsia="Arial"/>
          <w:color w:val="0E1E3A"/>
          <w:sz w:val="20"/>
          <w:szCs w:val="20"/>
        </w:rPr>
        <w:t>According to the IMF World Economic Outlook, global GDP growth is projected at 3.3% in 2026, with advanced economies growing at 1.8% and emerging markets at 4.2%. The U.S. economy is projected to grow by 2.4%, the UK by 1.3%, Saudi Arabia by 4.5%, China by 4.5%, and India by 6.4% in 2026.</w:t>
      </w:r>
    </w:p>
    <w:p>
      <w:pPr>
        <w:pStyle w:val="Heading3"/>
        <w:keepNext/>
        <w:spacing w:before="160" w:after="100" w:line="300" w:lineRule="auto"/>
      </w:pPr>
      <w:r>
        <w:rPr>
          <w:rFonts w:ascii="Arial" w:hAnsi="Arial" w:cs="Arial" w:eastAsia="Arial"/>
          <w:b/>
          <w:bCs/>
          <w:color w:val="12284B"/>
          <w:sz w:val="22"/>
          <w:szCs w:val="22"/>
        </w:rPr>
        <w:t>Fund Performance</w:t>
      </w:r>
    </w:p>
    <w:p>
      <w:pPr>
        <w:spacing w:before="0" w:after="80" w:line="312" w:lineRule="auto"/>
      </w:pPr>
      <w:r>
        <w:rPr>
          <w:rFonts w:ascii="Arial" w:hAnsi="Arial" w:cs="Arial" w:eastAsia="Arial"/>
          <w:color w:val="0E1E3A"/>
          <w:sz w:val="20"/>
          <w:szCs w:val="20"/>
        </w:rPr>
        <w:t>Alkhabeer Growth &amp; Income Traded Fund follows a core-satellite investing approach where in atleast 75% of the assets are benchmark-aligned core allocation and the rest 25% is actively managed by investing in Funds, IPOs, Pre-IPOs and Money Market Instruments.</w:t>
      </w:r>
    </w:p>
    <w:p>
      <w:pPr>
        <w:spacing w:before="0" w:after="80" w:line="312" w:lineRule="auto"/>
      </w:pPr>
      <w:r>
        <w:rPr>
          <w:rFonts w:ascii="Arial" w:hAnsi="Arial" w:cs="Arial" w:eastAsia="Arial"/>
          <w:color w:val="0E1E3A"/>
          <w:sz w:val="20"/>
          <w:szCs w:val="20"/>
        </w:rPr>
        <w:t>Due to elevated geopolitical tensions in the Middle East, trade policy uncertainty, higher energy prices, and a more cautious assessment of the global interest rate outlook market performance became negative during the quarter. As a result, the Fund’s total return for Q1 2026 came in at -2.52% vs the benchmark at -1.24%.</w:t>
      </w:r>
    </w:p>
    <w:p>
      <w:pPr>
        <w:spacing w:before="0" w:after="80" w:line="312" w:lineRule="auto"/>
      </w:pPr>
      <w:r>
        <w:rPr>
          <w:rFonts w:ascii="Arial" w:hAnsi="Arial" w:cs="Arial" w:eastAsia="Arial"/>
          <w:color w:val="0E1E3A"/>
          <w:sz w:val="20"/>
          <w:szCs w:val="20"/>
        </w:rPr>
        <w:t>Based on the Fund performance attribution, the main sources of underperformance were due to the Fund’s underweight exposure on sectors such as energy and industrials, and additionally to the Fund’s satellite exposure (equity funds and money market fund) lagging the Fund benchmark. These negative effects were only partly offset by more supportive positioning in information technology, communication services, and consumer discretionary.</w:t>
      </w:r>
    </w:p>
    <w:p>
      <w:pPr>
        <w:spacing w:before="0" w:after="80" w:line="312" w:lineRule="auto"/>
      </w:pPr>
      <w:r>
        <w:rPr>
          <w:rFonts w:ascii="Arial" w:hAnsi="Arial" w:cs="Arial" w:eastAsia="Arial"/>
          <w:color w:val="0E1E3A"/>
          <w:sz w:val="20"/>
          <w:szCs w:val="20"/>
        </w:rPr>
        <w:t>The quarter’s -5.36 negative alpha reflects these same factors and indicates that returns were below those implied by market exposure alone.</w:t>
      </w:r>
    </w:p>
    <w:p>
      <w:pPr>
        <w:pStyle w:val="Heading3"/>
        <w:keepNext/>
        <w:spacing w:before="160" w:after="100" w:line="300" w:lineRule="auto"/>
      </w:pPr>
      <w:r>
        <w:rPr>
          <w:rFonts w:ascii="Arial" w:hAnsi="Arial" w:cs="Arial" w:eastAsia="Arial"/>
          <w:b/>
          <w:bCs/>
          <w:color w:val="12284B"/>
          <w:sz w:val="22"/>
          <w:szCs w:val="22"/>
        </w:rPr>
        <w:t>Fund Highlights and Any Fundamental or Non-Fundamental Changes Affecting its Performance</w:t>
      </w:r>
    </w:p>
    <w:p>
      <w:pPr>
        <w:pStyle w:val="Heading3"/>
        <w:keepNext/>
        <w:spacing w:before="160" w:after="100" w:line="300" w:lineRule="auto"/>
      </w:pPr>
      <w:r>
        <w:rPr>
          <w:rFonts w:ascii="Arial" w:hAnsi="Arial" w:cs="Arial" w:eastAsia="Arial"/>
          <w:b/>
          <w:bCs/>
          <w:color w:val="12284B"/>
          <w:sz w:val="22"/>
          <w:szCs w:val="22"/>
        </w:rPr>
        <w:t>Fund Material Developments</w:t>
      </w:r>
    </w:p>
    <w:p>
      <w:pPr>
        <w:spacing w:before="0" w:after="80" w:line="312" w:lineRule="auto"/>
      </w:pPr>
      <w:r>
        <w:rPr>
          <w:rFonts w:ascii="Arial" w:hAnsi="Arial" w:cs="Arial" w:eastAsia="Arial"/>
          <w:color w:val="0E1E3A"/>
          <w:sz w:val="20"/>
          <w:szCs w:val="20"/>
        </w:rPr>
        <w:t>After reviewing the recommendations of the Fund Manager and taking into consideration the achievement of the best interests of all Unitholders and to maintain their rights, including adherence to the applicable regulatory time periods, the Fund’s Board of Directors on Dec 18, 2025, has approved the adoption of the Fund Manager’s recommendation to delist the Fund as a closed-ended traded fund and convert it into an open-ended public fund.</w:t>
      </w:r>
    </w:p>
    <w:p>
      <w:pPr>
        <w:spacing w:before="0" w:after="80" w:line="312" w:lineRule="auto"/>
      </w:pPr>
      <w:r>
        <w:rPr>
          <w:rFonts w:ascii="Arial" w:hAnsi="Arial" w:cs="Arial" w:eastAsia="Arial"/>
          <w:color w:val="0E1E3A"/>
          <w:sz w:val="20"/>
          <w:szCs w:val="20"/>
        </w:rPr>
        <w:t>This resolution is subject to obtaining the approval of the Capital Market Authority, followed by the approval of the Fund’s Unitholders.</w:t>
      </w:r>
    </w:p>
    <w:p>
      <w:pPr>
        <w:pStyle w:val="Heading3"/>
        <w:keepNext/>
        <w:spacing w:before="160" w:after="100" w:line="300" w:lineRule="auto"/>
      </w:pPr>
      <w:r>
        <w:rPr>
          <w:rFonts w:ascii="Arial" w:hAnsi="Arial" w:cs="Arial" w:eastAsia="Arial"/>
          <w:b/>
          <w:bCs/>
          <w:color w:val="12284B"/>
          <w:sz w:val="22"/>
          <w:szCs w:val="22"/>
        </w:rPr>
        <w:t>Distribution</w:t>
      </w:r>
    </w:p>
    <w:p>
      <w:pPr>
        <w:spacing w:before="0" w:after="80" w:line="312" w:lineRule="auto"/>
      </w:pPr>
      <w:r>
        <w:rPr>
          <w:rFonts w:ascii="Arial" w:hAnsi="Arial" w:cs="Arial" w:eastAsia="Arial"/>
          <w:color w:val="0E1E3A"/>
          <w:sz w:val="20"/>
          <w:szCs w:val="20"/>
        </w:rPr>
        <w:t>During the first quarter, the Fund Manager paid a distribution of SAR 19.16 million, amounting to SAR 0.30 per unit, for the period from July 01, 2025 to Dec 31, 2025.</w:t>
      </w:r>
    </w:p>
    <w:p>
      <w:pPr>
        <w:spacing w:before="0" w:after="80" w:line="312" w:lineRule="auto"/>
      </w:pPr>
      <w:r>
        <w:rPr>
          <w:rFonts w:ascii="Arial" w:hAnsi="Arial" w:cs="Arial" w:eastAsia="Arial"/>
          <w:color w:val="0E1E3A"/>
          <w:sz w:val="20"/>
          <w:szCs w:val="20"/>
        </w:rPr>
        <w:t>Since inception, the Fund has paid total dividends of SAR 5.015 per unit, or 50.15% of the initial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43"/>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e)</w:t>
      </w:r>
      <w:r>
        <w:rPr>
          <w:rFonts w:ascii="Arial" w:hAnsi="Arial" w:cs="Arial" w:eastAsia="Arial"/>
          <w:b/>
          <w:bCs/>
          <w:color w:val="3B7DD8"/>
          <w:sz w:val="26"/>
          <w:szCs w:val="26"/>
        </w:rPr>
        <w:t xml:space="preserve">  </w:t>
      </w:r>
      <w:r>
        <w:rPr>
          <w:rFonts w:ascii="Arial" w:hAnsi="Arial" w:cs="Arial" w:eastAsia="Arial"/>
          <w:b/>
          <w:bCs/>
          <w:color w:val="12284B"/>
          <w:sz w:val="26"/>
          <w:szCs w:val="26"/>
        </w:rPr>
        <w:t>Contact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Telephone Number</w:t>
            </w:r>
          </w:p>
        </w:tc>
        <w:tc>
          <w:tcPr>
            <w:tcW w:type="dxa" w:w="6860"/>
          </w:tcPr>
          <w:p>
            <w:pPr>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spacing w:before="0" w:after="0" w:line="276" w:lineRule="auto"/>
            </w:pPr>
            <w:r>
              <w:rPr>
                <w:rFonts w:ascii="Arial" w:hAnsi="Arial" w:cs="Arial" w:eastAsia="Arial"/>
                <w:color w:val="5A6478"/>
                <w:sz w:val="18"/>
                <w:szCs w:val="18"/>
              </w:rPr>
              <w:t>Website</w:t>
            </w:r>
          </w:p>
        </w:tc>
        <w:tc>
          <w:tcPr>
            <w:tcW w:type="dxa" w:w="6860"/>
          </w:tcPr>
          <w:p>
            <w:pPr>
              <w:spacing w:before="0" w:after="0" w:line="276" w:lineRule="auto"/>
            </w:pPr>
            <w:r>
              <w:rPr>
                <w:rFonts w:ascii="Arial" w:hAnsi="Arial" w:cs="Arial" w:eastAsia="Arial"/>
                <w:b/>
                <w:bCs/>
                <w:color w:val="0E1E3A"/>
                <w:sz w:val="18"/>
                <w:szCs w:val="18"/>
              </w:rPr>
              <w:t>www.alkhabeer.com</w:t>
            </w:r>
          </w:p>
        </w:tc>
      </w:tr>
      <w:tr>
        <w:tc>
          <w:tcPr>
            <w:tcW w:type="dxa" w:w="3118"/>
            <w:shd w:val="clear" w:color="auto" w:fill="F3F6FB"/>
          </w:tcPr>
          <w:p>
            <w:pPr>
              <w:spacing w:before="0" w:after="0" w:line="276" w:lineRule="auto"/>
            </w:pPr>
            <w:r>
              <w:rPr>
                <w:rFonts w:ascii="Arial" w:hAnsi="Arial" w:cs="Arial" w:eastAsia="Arial"/>
                <w:color w:val="5A6478"/>
                <w:sz w:val="18"/>
                <w:szCs w:val="18"/>
              </w:rPr>
              <w:t>Email</w:t>
            </w:r>
          </w:p>
        </w:tc>
        <w:tc>
          <w:tcPr>
            <w:tcW w:type="dxa" w:w="6860"/>
          </w:tcPr>
          <w:p>
            <w:pPr>
              <w:spacing w:before="0" w:after="0" w:line="276" w:lineRule="auto"/>
            </w:pPr>
            <w:r>
              <w:rPr>
                <w:rFonts w:ascii="Arial" w:hAnsi="Arial" w:cs="Arial" w:eastAsia="Arial"/>
                <w:b/>
                <w:bCs/>
                <w:color w:val="0E1E3A"/>
                <w:sz w:val="18"/>
                <w:szCs w:val="18"/>
              </w:rPr>
              <w:t>info@alkhabeer.com</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f)</w:t>
      </w:r>
      <w:r>
        <w:rPr>
          <w:rFonts w:ascii="Arial" w:hAnsi="Arial" w:cs="Arial" w:eastAsia="Arial"/>
          <w:b/>
          <w:bCs/>
          <w:color w:val="3B7DD8"/>
          <w:sz w:val="26"/>
          <w:szCs w:val="26"/>
        </w:rPr>
        <w:t xml:space="preserve">  </w:t>
      </w:r>
      <w:r>
        <w:rPr>
          <w:rFonts w:ascii="Arial" w:hAnsi="Arial" w:cs="Arial" w:eastAsia="Arial"/>
          <w:b/>
          <w:bCs/>
          <w:color w:val="12284B"/>
          <w:sz w:val="26"/>
          <w:szCs w:val="26"/>
        </w:rPr>
        <w:t>Price Information as at the End of the Reporting Quarter (March 2026):</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Q4 (31 March 2026)</w:t>
            </w:r>
          </w:p>
        </w:tc>
        <w:tc>
          <w:tcPr>
            <w:tcW w:type="dxa" w:w="6860"/>
          </w:tcPr>
          <w:p>
            <w:pPr>
              <w:spacing w:before="0" w:after="0" w:line="276" w:lineRule="auto"/>
            </w:pPr>
            <w:r>
              <w:rPr>
                <w:rFonts w:ascii="Arial" w:hAnsi="Arial" w:cs="Arial" w:eastAsia="Arial"/>
                <w:b/>
                <w:bCs/>
                <w:color w:val="0E1E3A"/>
                <w:sz w:val="18"/>
                <w:szCs w:val="18"/>
              </w:rPr>
              <w:t>SAR 9.10</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Previous Quarter</w:t>
            </w:r>
          </w:p>
        </w:tc>
        <w:tc>
          <w:tcPr>
            <w:tcW w:type="dxa" w:w="6860"/>
          </w:tcPr>
          <w:p>
            <w:pPr>
              <w:spacing w:before="0" w:after="0" w:line="276" w:lineRule="auto"/>
            </w:pPr>
            <w:r>
              <w:rPr>
                <w:rFonts w:ascii="Arial" w:hAnsi="Arial" w:cs="Arial" w:eastAsia="Arial"/>
                <w:b/>
                <w:bCs/>
                <w:color w:val="0E1E3A"/>
                <w:sz w:val="18"/>
                <w:szCs w:val="18"/>
              </w:rPr>
              <w:t>-9.45%</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Total Fund Units</w:t>
            </w:r>
          </w:p>
        </w:tc>
        <w:tc>
          <w:tcPr>
            <w:tcW w:type="dxa" w:w="6860"/>
          </w:tcPr>
          <w:p>
            <w:pPr>
              <w:spacing w:before="0" w:after="0" w:line="276" w:lineRule="auto"/>
            </w:pPr>
            <w:r>
              <w:rPr>
                <w:rFonts w:ascii="Arial" w:hAnsi="Arial" w:cs="Arial" w:eastAsia="Arial"/>
                <w:b/>
                <w:bCs/>
                <w:color w:val="0E1E3A"/>
                <w:sz w:val="18"/>
                <w:szCs w:val="18"/>
              </w:rPr>
              <w:t>63,876,285 Units</w:t>
            </w:r>
          </w:p>
        </w:tc>
      </w:tr>
      <w:tr>
        <w:tc>
          <w:tcPr>
            <w:tcW w:type="dxa" w:w="3118"/>
            <w:shd w:val="clear" w:color="auto" w:fill="F3F6FB"/>
          </w:tcPr>
          <w:p>
            <w:pPr>
              <w:spacing w:before="0" w:after="0" w:line="276" w:lineRule="auto"/>
            </w:pPr>
            <w:r>
              <w:rPr>
                <w:rFonts w:ascii="Arial" w:hAnsi="Arial" w:cs="Arial" w:eastAsia="Arial"/>
                <w:color w:val="5A6478"/>
                <w:sz w:val="18"/>
                <w:szCs w:val="18"/>
              </w:rPr>
              <w:t>Fund's Net Asset Value</w:t>
            </w:r>
          </w:p>
        </w:tc>
        <w:tc>
          <w:tcPr>
            <w:tcW w:type="dxa" w:w="6860"/>
          </w:tcPr>
          <w:p>
            <w:pPr>
              <w:spacing w:before="0" w:after="0" w:line="276" w:lineRule="auto"/>
            </w:pPr>
            <w:r>
              <w:rPr>
                <w:rFonts w:ascii="Arial" w:hAnsi="Arial" w:cs="Arial" w:eastAsia="Arial"/>
                <w:b/>
                <w:bCs/>
                <w:color w:val="0E1E3A"/>
                <w:sz w:val="18"/>
                <w:szCs w:val="18"/>
              </w:rPr>
              <w:t>SAR 665,079,142</w:t>
            </w:r>
          </w:p>
        </w:tc>
      </w:tr>
      <w:tr>
        <w:tc>
          <w:tcPr>
            <w:tcW w:type="dxa" w:w="3118"/>
            <w:shd w:val="clear" w:color="auto" w:fill="F3F6FB"/>
          </w:tcPr>
          <w:p>
            <w:pPr>
              <w:spacing w:before="0" w:after="0" w:line="276" w:lineRule="auto"/>
            </w:pPr>
            <w:r>
              <w:rPr>
                <w:rFonts w:ascii="Arial" w:hAnsi="Arial" w:cs="Arial" w:eastAsia="Arial"/>
                <w:color w:val="5A6478"/>
                <w:sz w:val="18"/>
                <w:szCs w:val="18"/>
              </w:rPr>
              <w:t>Price/Equity Ratio (P/E)</w:t>
            </w:r>
          </w:p>
        </w:tc>
        <w:tc>
          <w:tcPr>
            <w:tcW w:type="dxa" w:w="6860"/>
          </w:tcPr>
          <w:p>
            <w:pPr>
              <w:spacing w:before="0" w:after="0" w:line="276" w:lineRule="auto"/>
            </w:pPr>
            <w:r>
              <w:rPr>
                <w:rFonts w:ascii="Arial" w:hAnsi="Arial" w:cs="Arial" w:eastAsia="Arial"/>
                <w:b/>
                <w:bCs/>
                <w:color w:val="0E1E3A"/>
                <w:sz w:val="18"/>
                <w:szCs w:val="18"/>
              </w:rPr>
              <w:t>22.9x</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8"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g)</w:t>
      </w:r>
      <w:r>
        <w:rPr>
          <w:rFonts w:ascii="Arial" w:hAnsi="Arial" w:cs="Arial" w:eastAsia="Arial"/>
          <w:b/>
          <w:bCs/>
          <w:color w:val="3B7DD8"/>
          <w:sz w:val="26"/>
          <w:szCs w:val="26"/>
        </w:rPr>
        <w:t xml:space="preserve">  </w:t>
      </w:r>
      <w:r>
        <w:rPr>
          <w:rFonts w:ascii="Arial" w:hAnsi="Arial" w:cs="Arial" w:eastAsia="Arial"/>
          <w:b/>
          <w:bCs/>
          <w:color w:val="12284B"/>
          <w:sz w:val="26"/>
          <w:szCs w:val="26"/>
        </w:rPr>
        <w:t>Fund Information as at the end of Q1 (March 2026):</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Saudi Riyal</w:t>
            </w:r>
          </w:p>
        </w:tc>
        <w:tc>
          <w:tcPr>
            <w:tcW w:type="dxa" w:w="3326"/>
            <w:shd w:val="clear" w:color="auto" w:fill="12284B"/>
          </w:tcPr>
          <w:p>
            <w:pPr>
              <w:spacing w:before="0" w:after="0" w:line="264" w:lineRule="auto"/>
            </w:pPr>
            <w:r>
              <w:rPr>
                <w:rFonts w:ascii="Arial" w:hAnsi="Arial" w:cs="Arial" w:eastAsia="Arial"/>
                <w:b/>
                <w:bCs/>
                <w:color w:val="FFFFFF"/>
                <w:sz w:val="17"/>
                <w:szCs w:val="17"/>
              </w:rPr>
              <w:t>%</w:t>
            </w:r>
          </w:p>
        </w:tc>
      </w:tr>
      <w:tr>
        <w:tc>
          <w:tcPr>
            <w:tcW w:type="dxa" w:w="3326"/>
          </w:tcPr>
          <w:p>
            <w:pPr>
              <w:spacing w:before="0" w:after="0" w:line="264" w:lineRule="auto"/>
            </w:pPr>
            <w:r>
              <w:rPr>
                <w:rFonts w:ascii="Arial" w:hAnsi="Arial" w:cs="Arial" w:eastAsia="Arial"/>
                <w:color w:val="0E1E3A"/>
                <w:sz w:val="17"/>
                <w:szCs w:val="17"/>
              </w:rPr>
              <w:t>Total Expense Ratio (TER) to Fund's Average Net Asset Value</w:t>
            </w:r>
          </w:p>
        </w:tc>
        <w:tc>
          <w:tcPr>
            <w:tcW w:type="dxa" w:w="3326"/>
          </w:tcPr>
          <w:p>
            <w:pPr>
              <w:spacing w:before="0" w:after="0" w:line="264" w:lineRule="auto"/>
            </w:pPr>
            <w:r>
              <w:rPr>
                <w:rFonts w:ascii="Arial" w:hAnsi="Arial" w:cs="Arial" w:eastAsia="Arial"/>
                <w:color w:val="0E1E3A"/>
                <w:sz w:val="17"/>
                <w:szCs w:val="17"/>
              </w:rPr>
              <w:t>SAR 2,649,856</w:t>
            </w:r>
          </w:p>
        </w:tc>
        <w:tc>
          <w:tcPr>
            <w:tcW w:type="dxa" w:w="3326"/>
          </w:tcPr>
          <w:p>
            <w:pPr>
              <w:spacing w:before="0" w:after="0" w:line="264" w:lineRule="auto"/>
            </w:pPr>
            <w:r>
              <w:rPr>
                <w:rFonts w:ascii="Arial" w:hAnsi="Arial" w:cs="Arial" w:eastAsia="Arial"/>
                <w:color w:val="0E1E3A"/>
                <w:sz w:val="17"/>
                <w:szCs w:val="17"/>
              </w:rPr>
              <w:t>0.38%</w:t>
            </w:r>
          </w:p>
        </w:tc>
      </w:tr>
      <w:tr>
        <w:tc>
          <w:tcPr>
            <w:tcW w:type="dxa" w:w="3326"/>
          </w:tcPr>
          <w:p>
            <w:pPr>
              <w:spacing w:before="0" w:after="0" w:line="264" w:lineRule="auto"/>
            </w:pPr>
            <w:r>
              <w:rPr>
                <w:rFonts w:ascii="Arial" w:hAnsi="Arial" w:cs="Arial" w:eastAsia="Arial"/>
                <w:color w:val="0E1E3A"/>
                <w:sz w:val="17"/>
                <w:szCs w:val="17"/>
              </w:rPr>
              <w:t>Ratio of Loans to Fund's Total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Dealing Expenses to Fund's Average Net Asset Value *</w:t>
            </w:r>
          </w:p>
        </w:tc>
        <w:tc>
          <w:tcPr>
            <w:tcW w:type="dxa" w:w="3326"/>
          </w:tcPr>
          <w:p>
            <w:pPr>
              <w:spacing w:before="0" w:after="0" w:line="264" w:lineRule="auto"/>
            </w:pPr>
            <w:r>
              <w:rPr>
                <w:rFonts w:ascii="Arial" w:hAnsi="Arial" w:cs="Arial" w:eastAsia="Arial"/>
                <w:color w:val="0E1E3A"/>
                <w:sz w:val="17"/>
                <w:szCs w:val="17"/>
              </w:rPr>
              <w:t>SAR 278,587</w:t>
            </w:r>
          </w:p>
        </w:tc>
        <w:tc>
          <w:tcPr>
            <w:tcW w:type="dxa" w:w="3326"/>
          </w:tcPr>
          <w:p>
            <w:pPr>
              <w:spacing w:before="0" w:after="0" w:line="264" w:lineRule="auto"/>
            </w:pPr>
            <w:r>
              <w:rPr>
                <w:rFonts w:ascii="Arial" w:hAnsi="Arial" w:cs="Arial" w:eastAsia="Arial"/>
                <w:color w:val="0E1E3A"/>
                <w:sz w:val="17"/>
                <w:szCs w:val="17"/>
              </w:rPr>
              <w:t>0.04%</w:t>
            </w:r>
          </w:p>
        </w:tc>
      </w:tr>
      <w:tr>
        <w:tc>
          <w:tcPr>
            <w:tcW w:type="dxa" w:w="3326"/>
          </w:tcPr>
          <w:p>
            <w:pPr>
              <w:spacing w:before="0" w:after="0" w:line="264" w:lineRule="auto"/>
            </w:pPr>
            <w:r>
              <w:rPr>
                <w:rFonts w:ascii="Arial" w:hAnsi="Arial" w:cs="Arial" w:eastAsia="Arial"/>
                <w:color w:val="0E1E3A"/>
                <w:sz w:val="17"/>
                <w:szCs w:val="17"/>
              </w:rPr>
              <w:t>Percentage of Fund Manager's Investment to Fund's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Distributed Dividends</w:t>
            </w:r>
          </w:p>
        </w:tc>
        <w:tc>
          <w:tcPr>
            <w:tcW w:type="dxa" w:w="3326"/>
          </w:tcPr>
          <w:p>
            <w:pPr>
              <w:spacing w:before="0" w:after="0" w:line="264" w:lineRule="auto"/>
            </w:pPr>
            <w:r>
              <w:rPr>
                <w:rFonts w:ascii="Arial" w:hAnsi="Arial" w:cs="Arial" w:eastAsia="Arial"/>
                <w:color w:val="0E1E3A"/>
                <w:sz w:val="17"/>
                <w:szCs w:val="17"/>
              </w:rPr>
              <w:t>SAR 19,162,886</w:t>
            </w:r>
          </w:p>
        </w:tc>
        <w:tc>
          <w:tcPr>
            <w:tcW w:type="dxa" w:w="3326"/>
          </w:tcPr>
          <w:p>
            <w:pPr>
              <w:spacing w:before="0" w:after="0" w:line="264" w:lineRule="auto"/>
            </w:pPr>
            <w:r>
              <w:rPr>
                <w:rFonts w:ascii="Arial" w:hAnsi="Arial" w:cs="Arial" w:eastAsia="Arial"/>
                <w:color w:val="0E1E3A"/>
                <w:sz w:val="17"/>
                <w:szCs w:val="17"/>
              </w:rPr>
              <w:t>2.88%</w:t>
            </w:r>
          </w:p>
        </w:tc>
      </w:tr>
    </w:tbl>
    <w:p>
      <w:pPr>
        <w:spacing w:before="0" w:after="40" w:line="300" w:lineRule="auto"/>
      </w:pPr>
    </w:p>
    <w:p>
      <w:pPr>
        <w:spacing w:before="0" w:after="80" w:line="312" w:lineRule="auto"/>
      </w:pPr>
      <w:r>
        <w:rPr>
          <w:rFonts w:ascii="Arial" w:hAnsi="Arial" w:cs="Arial" w:eastAsia="Arial"/>
          <w:color w:val="5A6478"/>
          <w:sz w:val="17"/>
          <w:szCs w:val="17"/>
        </w:rPr>
        <w:t>* Fund's Average Net Asset Value for Q1 = SAR 695,445,454.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h)</w:t>
      </w:r>
      <w:r>
        <w:rPr>
          <w:rFonts w:ascii="Arial" w:hAnsi="Arial" w:cs="Arial" w:eastAsia="Arial"/>
          <w:b/>
          <w:bCs/>
          <w:color w:val="3B7DD8"/>
          <w:sz w:val="26"/>
          <w:szCs w:val="26"/>
        </w:rPr>
        <w:t xml:space="preserve">  </w:t>
      </w:r>
      <w:r>
        <w:rPr>
          <w:rFonts w:ascii="Arial" w:hAnsi="Arial" w:cs="Arial" w:eastAsia="Arial"/>
          <w:b/>
          <w:bCs/>
          <w:color w:val="12284B"/>
          <w:sz w:val="26"/>
          <w:szCs w:val="26"/>
        </w:rPr>
        <w:t>Information on 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Freehold</w:t>
            </w:r>
          </w:p>
        </w:tc>
        <w:tc>
          <w:tcPr>
            <w:tcW w:type="dxa" w:w="6860"/>
          </w:tcPr>
          <w:p>
            <w:pPr>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spacing w:before="0" w:after="0" w:line="276" w:lineRule="auto"/>
            </w:pPr>
            <w:r>
              <w:rPr>
                <w:rFonts w:ascii="Arial" w:hAnsi="Arial" w:cs="Arial" w:eastAsia="Arial"/>
                <w:color w:val="5A6478"/>
                <w:sz w:val="18"/>
                <w:szCs w:val="18"/>
              </w:rPr>
              <w:t>Leasehold</w:t>
            </w:r>
          </w:p>
        </w:tc>
        <w:tc>
          <w:tcPr>
            <w:tcW w:type="dxa" w:w="6860"/>
          </w:tcPr>
          <w:p>
            <w:pPr>
              <w:spacing w:before="0" w:after="0" w:line="276" w:lineRule="auto"/>
            </w:pPr>
            <w:r>
              <w:rPr>
                <w:rFonts w:ascii="Arial" w:hAnsi="Arial" w:cs="Arial" w:eastAsia="Arial"/>
                <w:b/>
                <w:bCs/>
                <w:color w:val="0E1E3A"/>
                <w:sz w:val="18"/>
                <w:szCs w:val="18"/>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47"/>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i)</w:t>
      </w:r>
      <w:r>
        <w:rPr>
          <w:rFonts w:ascii="Arial" w:hAnsi="Arial" w:cs="Arial" w:eastAsia="Arial"/>
          <w:b/>
          <w:bCs/>
          <w:color w:val="3B7DD8"/>
          <w:sz w:val="26"/>
          <w:szCs w:val="26"/>
        </w:rP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0E1E3A"/>
          <w:sz w:val="20"/>
          <w:szCs w:val="20"/>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j)</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Fund's Top Ten Investments:</w:t>
      </w:r>
    </w:p>
    <w:p>
      <w:pPr>
        <w:spacing w:before="0" w:after="80" w:line="240" w:lineRule="auto"/>
        <w:jc w:val="center"/>
      </w:pPr>
      <w:r>
        <w:drawing>
          <wp:inline xmlns:a="http://schemas.openxmlformats.org/drawingml/2006/main" xmlns:pic="http://schemas.openxmlformats.org/drawingml/2006/picture">
            <wp:extent cx="6336000" cy="2654270"/>
            <wp:docPr id="12" name="Picture 9049"/>
            <wp:cNvGraphicFramePr>
              <a:graphicFrameLocks noChangeAspect="1"/>
            </wp:cNvGraphicFramePr>
            <a:graphic>
              <a:graphicData uri="http://schemas.openxmlformats.org/drawingml/2006/picture">
                <pic:pic>
                  <pic:nvPicPr>
                    <pic:cNvPr id="0" name="x2.j.jpg"/>
                    <pic:cNvPicPr/>
                  </pic:nvPicPr>
                  <pic:blipFill>
                    <a:blip r:embed="rId18"/>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50"/>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k)</w:t>
      </w:r>
      <w:r>
        <w:rPr>
          <w:rFonts w:ascii="Arial" w:hAnsi="Arial" w:cs="Arial" w:eastAsia="Arial"/>
          <w:b/>
          <w:bCs/>
          <w:color w:val="3B7DD8"/>
          <w:sz w:val="26"/>
          <w:szCs w:val="26"/>
        </w:rPr>
        <w:t xml:space="preserve">  </w:t>
      </w:r>
      <w:r>
        <w:rPr>
          <w:rFonts w:ascii="Arial" w:hAnsi="Arial" w:cs="Arial" w:eastAsia="Arial"/>
          <w:b/>
          <w:bCs/>
          <w:color w:val="12284B"/>
          <w:sz w:val="26"/>
          <w:szCs w:val="26"/>
        </w:rPr>
        <w:t>Statement of Dividends Distributed to Unitholders (if any),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during Q1</w:t>
            </w:r>
          </w:p>
        </w:tc>
        <w:tc>
          <w:tcPr>
            <w:tcW w:type="dxa" w:w="6860"/>
          </w:tcPr>
          <w:p>
            <w:pPr>
              <w:spacing w:before="0" w:after="0" w:line="276" w:lineRule="auto"/>
            </w:pPr>
            <w:r>
              <w:rPr>
                <w:rFonts w:ascii="Arial" w:hAnsi="Arial" w:cs="Arial" w:eastAsia="Arial"/>
                <w:b/>
                <w:bCs/>
                <w:color w:val="0E1E3A"/>
                <w:sz w:val="18"/>
                <w:szCs w:val="18"/>
              </w:rPr>
              <w:t>SAR 19,162,886.00</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eligible for Dividends distribution during Q1</w:t>
            </w:r>
          </w:p>
        </w:tc>
        <w:tc>
          <w:tcPr>
            <w:tcW w:type="dxa" w:w="6860"/>
          </w:tcPr>
          <w:p>
            <w:pPr>
              <w:spacing w:before="0" w:after="0" w:line="276" w:lineRule="auto"/>
            </w:pPr>
            <w:r>
              <w:rPr>
                <w:rFonts w:ascii="Arial" w:hAnsi="Arial" w:cs="Arial" w:eastAsia="Arial"/>
                <w:b/>
                <w:bCs/>
                <w:color w:val="0E1E3A"/>
                <w:sz w:val="18"/>
                <w:szCs w:val="18"/>
              </w:rPr>
              <w:t>63,876,285 Units</w:t>
            </w:r>
          </w:p>
        </w:tc>
      </w:tr>
      <w:tr>
        <w:tc>
          <w:tcPr>
            <w:tcW w:type="dxa" w:w="3118"/>
            <w:shd w:val="clear" w:color="auto" w:fill="F3F6FB"/>
          </w:tcPr>
          <w:p>
            <w:pPr>
              <w:spacing w:before="0" w:after="0" w:line="276" w:lineRule="auto"/>
            </w:pPr>
            <w:r>
              <w:rPr>
                <w:rFonts w:ascii="Arial" w:hAnsi="Arial" w:cs="Arial" w:eastAsia="Arial"/>
                <w:color w:val="5A6478"/>
                <w:sz w:val="18"/>
                <w:szCs w:val="18"/>
              </w:rPr>
              <w:t>Distributed Dividends per Unit during Q1</w:t>
            </w:r>
          </w:p>
        </w:tc>
        <w:tc>
          <w:tcPr>
            <w:tcW w:type="dxa" w:w="6860"/>
          </w:tcPr>
          <w:p>
            <w:pPr>
              <w:spacing w:before="0" w:after="0" w:line="276" w:lineRule="auto"/>
            </w:pPr>
            <w:r>
              <w:rPr>
                <w:rFonts w:ascii="Arial" w:hAnsi="Arial" w:cs="Arial" w:eastAsia="Arial"/>
                <w:b/>
                <w:bCs/>
                <w:color w:val="0E1E3A"/>
                <w:sz w:val="18"/>
                <w:szCs w:val="18"/>
              </w:rPr>
              <w:t>SAR 0.30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Distributions to Fund's Net Asset Value</w:t>
            </w:r>
          </w:p>
        </w:tc>
        <w:tc>
          <w:tcPr>
            <w:tcW w:type="dxa" w:w="6860"/>
          </w:tcPr>
          <w:p>
            <w:pPr>
              <w:spacing w:before="0" w:after="0" w:line="276" w:lineRule="auto"/>
            </w:pPr>
            <w:r>
              <w:rPr>
                <w:rFonts w:ascii="Arial" w:hAnsi="Arial" w:cs="Arial" w:eastAsia="Arial"/>
                <w:b/>
                <w:bCs/>
                <w:color w:val="0E1E3A"/>
                <w:sz w:val="18"/>
                <w:szCs w:val="18"/>
              </w:rPr>
              <w:t>2.88%</w:t>
            </w:r>
          </w:p>
        </w:tc>
      </w:tr>
      <w:tr>
        <w:tc>
          <w:tcPr>
            <w:tcW w:type="dxa" w:w="3118"/>
            <w:shd w:val="clear" w:color="auto" w:fill="F3F6FB"/>
          </w:tcPr>
          <w:p>
            <w:pPr>
              <w:spacing w:before="0" w:after="0" w:line="276" w:lineRule="auto"/>
            </w:pPr>
            <w:r>
              <w:rPr>
                <w:rFonts w:ascii="Arial" w:hAnsi="Arial" w:cs="Arial" w:eastAsia="Arial"/>
                <w:color w:val="5A6478"/>
                <w:sz w:val="18"/>
                <w:szCs w:val="18"/>
              </w:rPr>
              <w:t>Entitlement to Cash Distributions Paid during the Reporting Quarter</w:t>
            </w:r>
          </w:p>
        </w:tc>
        <w:tc>
          <w:tcPr>
            <w:tcW w:type="dxa" w:w="6860"/>
          </w:tcPr>
          <w:p>
            <w:pPr>
              <w:spacing w:before="0" w:after="0" w:line="276" w:lineRule="auto"/>
            </w:pPr>
            <w:r>
              <w:rPr>
                <w:rFonts w:ascii="Arial" w:hAnsi="Arial" w:cs="Arial" w:eastAsia="Arial"/>
                <w:b/>
                <w:bCs/>
                <w:color w:val="0E1E3A"/>
                <w:sz w:val="18"/>
                <w:szCs w:val="18"/>
              </w:rPr>
              <w:t>According to the Unitholders' Register as at Close of Business on Sunday, 8 February 2026 (end of trading on Wednesday, 4 February 2026).</w:t>
            </w:r>
          </w:p>
        </w:tc>
      </w:tr>
    </w:tbl>
    <w:p>
      <w:pPr>
        <w:spacing w:before="0" w:after="40" w:line="300" w:lineRule="auto"/>
      </w:pPr>
    </w:p>
    <w:p>
      <w:pPr>
        <w:spacing w:before="0" w:after="80" w:line="312" w:lineRule="auto"/>
      </w:pPr>
      <w:r>
        <w:rPr>
          <w:rFonts w:ascii="Arial" w:hAnsi="Arial" w:cs="Arial" w:eastAsia="Arial"/>
          <w:color w:val="5A6478"/>
          <w:sz w:val="17"/>
          <w:szCs w:val="17"/>
        </w:rPr>
        <w:t>Distributions for the Period from 1 July 2025 to 31 December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l)</w:t>
      </w:r>
      <w:r>
        <w:rPr>
          <w:rFonts w:ascii="Arial" w:hAnsi="Arial" w:cs="Arial" w:eastAsia="Arial"/>
          <w:b/>
          <w:bCs/>
          <w:color w:val="3B7DD8"/>
          <w:sz w:val="26"/>
          <w:szCs w:val="26"/>
        </w:rPr>
        <w:t xml:space="preserve">  </w:t>
      </w:r>
      <w:r>
        <w:rPr>
          <w:rFonts w:ascii="Arial" w:hAnsi="Arial" w:cs="Arial" w:eastAsia="Arial"/>
          <w:b/>
          <w:bCs/>
          <w:color w:val="12284B"/>
          <w:sz w:val="26"/>
          <w:szCs w:val="26"/>
        </w:rPr>
        <w:t>Credit Rating of Underlying Debt Instruments of the Fund's Top Ten Investments,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Credit Rating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Credit Rating of the Issuer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Name of the Credit Rating Agency</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Date of the Credit Rating</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52"/>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m)</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Distribution of Fund Assets (by Sector/Geography):</w:t>
      </w:r>
    </w:p>
    <w:p>
      <w:pPr>
        <w:spacing w:before="0" w:after="80" w:line="240" w:lineRule="auto"/>
        <w:jc w:val="center"/>
      </w:pPr>
      <w:r>
        <w:drawing>
          <wp:inline xmlns:a="http://schemas.openxmlformats.org/drawingml/2006/main" xmlns:pic="http://schemas.openxmlformats.org/drawingml/2006/picture">
            <wp:extent cx="6336000" cy="2654270"/>
            <wp:docPr id="16" name="Picture 9053"/>
            <wp:cNvGraphicFramePr>
              <a:graphicFrameLocks noChangeAspect="1"/>
            </wp:cNvGraphicFramePr>
            <a:graphic>
              <a:graphicData uri="http://schemas.openxmlformats.org/drawingml/2006/picture">
                <pic:pic>
                  <pic:nvPicPr>
                    <pic:cNvPr id="0" name="x3.j.jpg"/>
                    <pic:cNvPicPr/>
                  </pic:nvPicPr>
                  <pic:blipFill>
                    <a:blip r:embed="rId20"/>
                    <a:stretch>
                      <a:fillRect/>
                    </a:stretch>
                  </pic:blipFill>
                  <pic:spPr>
                    <a:xfrm>
                      <a:off x="0" y="0"/>
                      <a:ext cx="6336000" cy="2654270"/>
                    </a:xfrm>
                    <a:prstGeom prst="rect"/>
                  </pic:spPr>
                </pic:pic>
              </a:graphicData>
            </a:graphic>
          </wp:inline>
        </w:drawing>
      </w:r>
    </w:p>
    <w:p>
      <w:pPr>
        <w:spacing w:before="0" w:after="80" w:line="240" w:lineRule="auto"/>
        <w:jc w:val="center"/>
      </w:pPr>
      <w:r>
        <w:drawing>
          <wp:inline xmlns:a="http://schemas.openxmlformats.org/drawingml/2006/main" xmlns:pic="http://schemas.openxmlformats.org/drawingml/2006/picture">
            <wp:extent cx="6336000" cy="1836108"/>
            <wp:docPr id="17" name="Picture 9054"/>
            <wp:cNvGraphicFramePr>
              <a:graphicFrameLocks noChangeAspect="1"/>
            </wp:cNvGraphicFramePr>
            <a:graphic>
              <a:graphicData uri="http://schemas.openxmlformats.org/drawingml/2006/picture">
                <pic:pic>
                  <pic:nvPicPr>
                    <pic:cNvPr id="0" name="x4.j.jpg"/>
                    <pic:cNvPicPr/>
                  </pic:nvPicPr>
                  <pic:blipFill>
                    <a:blip r:embed="rId21"/>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55"/>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n)</w:t>
      </w:r>
      <w:r>
        <w:rPr>
          <w:rFonts w:ascii="Arial" w:hAnsi="Arial" w:cs="Arial" w:eastAsia="Arial"/>
          <w:b/>
          <w:bCs/>
          <w:color w:val="3B7DD8"/>
          <w:sz w:val="26"/>
          <w:szCs w:val="26"/>
        </w:rP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Q4)</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 **</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 *</w:t>
            </w:r>
          </w:p>
        </w:tc>
        <w:tc>
          <w:tcPr>
            <w:tcW w:type="dxa" w:w="1663"/>
          </w:tcPr>
          <w:p>
            <w:pPr>
              <w:spacing w:before="0" w:after="0" w:line="264" w:lineRule="auto"/>
            </w:pPr>
            <w:r>
              <w:rPr>
                <w:rFonts w:ascii="Arial" w:hAnsi="Arial" w:cs="Arial" w:eastAsia="Arial"/>
                <w:color w:val="0E1E3A"/>
                <w:sz w:val="17"/>
                <w:szCs w:val="17"/>
              </w:rPr>
              <w:t>-2.52%</w:t>
            </w:r>
          </w:p>
        </w:tc>
        <w:tc>
          <w:tcPr>
            <w:tcW w:type="dxa" w:w="1663"/>
          </w:tcPr>
          <w:p>
            <w:pPr>
              <w:spacing w:before="0" w:after="0" w:line="264" w:lineRule="auto"/>
            </w:pPr>
            <w:r>
              <w:rPr>
                <w:rFonts w:ascii="Arial" w:hAnsi="Arial" w:cs="Arial" w:eastAsia="Arial"/>
                <w:color w:val="0E1E3A"/>
                <w:sz w:val="17"/>
                <w:szCs w:val="17"/>
              </w:rPr>
              <w:t>-2.52%</w:t>
            </w:r>
          </w:p>
        </w:tc>
        <w:tc>
          <w:tcPr>
            <w:tcW w:type="dxa" w:w="1663"/>
          </w:tcPr>
          <w:p>
            <w:pPr>
              <w:spacing w:before="0" w:after="0" w:line="264" w:lineRule="auto"/>
            </w:pPr>
            <w:r>
              <w:rPr>
                <w:rFonts w:ascii="Arial" w:hAnsi="Arial" w:cs="Arial" w:eastAsia="Arial"/>
                <w:color w:val="0E1E3A"/>
                <w:sz w:val="17"/>
                <w:szCs w:val="17"/>
              </w:rPr>
              <w:t>20.75%</w:t>
            </w:r>
          </w:p>
        </w:tc>
        <w:tc>
          <w:tcPr>
            <w:tcW w:type="dxa" w:w="1663"/>
          </w:tcPr>
          <w:p>
            <w:pPr>
              <w:spacing w:before="0" w:after="0" w:line="264" w:lineRule="auto"/>
            </w:pPr>
            <w:r>
              <w:rPr>
                <w:rFonts w:ascii="Arial" w:hAnsi="Arial" w:cs="Arial" w:eastAsia="Arial"/>
                <w:color w:val="0E1E3A"/>
                <w:sz w:val="17"/>
                <w:szCs w:val="17"/>
              </w:rPr>
              <w:t>55.28%</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-1.24%</w:t>
            </w:r>
          </w:p>
        </w:tc>
        <w:tc>
          <w:tcPr>
            <w:tcW w:type="dxa" w:w="1663"/>
          </w:tcPr>
          <w:p>
            <w:pPr>
              <w:spacing w:before="0" w:after="0" w:line="264" w:lineRule="auto"/>
            </w:pPr>
            <w:r>
              <w:rPr>
                <w:rFonts w:ascii="Arial" w:hAnsi="Arial" w:cs="Arial" w:eastAsia="Arial"/>
                <w:color w:val="0E1E3A"/>
                <w:sz w:val="17"/>
                <w:szCs w:val="17"/>
              </w:rPr>
              <w:t>-1.24%</w:t>
            </w:r>
          </w:p>
        </w:tc>
        <w:tc>
          <w:tcPr>
            <w:tcW w:type="dxa" w:w="1663"/>
          </w:tcPr>
          <w:p>
            <w:pPr>
              <w:spacing w:before="0" w:after="0" w:line="264" w:lineRule="auto"/>
            </w:pPr>
            <w:r>
              <w:rPr>
                <w:rFonts w:ascii="Arial" w:hAnsi="Arial" w:cs="Arial" w:eastAsia="Arial"/>
                <w:color w:val="0E1E3A"/>
                <w:sz w:val="17"/>
                <w:szCs w:val="17"/>
              </w:rPr>
              <w:t>23.53%</w:t>
            </w:r>
          </w:p>
        </w:tc>
        <w:tc>
          <w:tcPr>
            <w:tcW w:type="dxa" w:w="1663"/>
          </w:tcPr>
          <w:p>
            <w:pPr>
              <w:spacing w:before="0" w:after="0" w:line="264" w:lineRule="auto"/>
            </w:pPr>
            <w:r>
              <w:rPr>
                <w:rFonts w:ascii="Arial" w:hAnsi="Arial" w:cs="Arial" w:eastAsia="Arial"/>
                <w:color w:val="0E1E3A"/>
                <w:sz w:val="17"/>
                <w:szCs w:val="17"/>
              </w:rPr>
              <w:t>46.77%</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-1.28%</w:t>
            </w:r>
          </w:p>
        </w:tc>
        <w:tc>
          <w:tcPr>
            <w:tcW w:type="dxa" w:w="1663"/>
          </w:tcPr>
          <w:p>
            <w:pPr>
              <w:spacing w:before="0" w:after="0" w:line="264" w:lineRule="auto"/>
            </w:pPr>
            <w:r>
              <w:rPr>
                <w:rFonts w:ascii="Arial" w:hAnsi="Arial" w:cs="Arial" w:eastAsia="Arial"/>
                <w:color w:val="0E1E3A"/>
                <w:sz w:val="17"/>
                <w:szCs w:val="17"/>
              </w:rPr>
              <w:t>-1.28%</w:t>
            </w:r>
          </w:p>
        </w:tc>
        <w:tc>
          <w:tcPr>
            <w:tcW w:type="dxa" w:w="1663"/>
          </w:tcPr>
          <w:p>
            <w:pPr>
              <w:spacing w:before="0" w:after="0" w:line="264" w:lineRule="auto"/>
            </w:pPr>
            <w:r>
              <w:rPr>
                <w:rFonts w:ascii="Arial" w:hAnsi="Arial" w:cs="Arial" w:eastAsia="Arial"/>
                <w:color w:val="0E1E3A"/>
                <w:sz w:val="17"/>
                <w:szCs w:val="17"/>
              </w:rPr>
              <w:t>-2.77%</w:t>
            </w:r>
          </w:p>
        </w:tc>
        <w:tc>
          <w:tcPr>
            <w:tcW w:type="dxa" w:w="1663"/>
          </w:tcPr>
          <w:p>
            <w:pPr>
              <w:spacing w:before="0" w:after="0" w:line="264" w:lineRule="auto"/>
            </w:pPr>
            <w:r>
              <w:rPr>
                <w:rFonts w:ascii="Arial" w:hAnsi="Arial" w:cs="Arial" w:eastAsia="Arial"/>
                <w:color w:val="0E1E3A"/>
                <w:sz w:val="17"/>
                <w:szCs w:val="17"/>
              </w:rPr>
              <w:t>8.51%</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 per Unit Price Performance plus Dividends.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6"/>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o)</w:t>
      </w:r>
      <w:r>
        <w:rPr>
          <w:rFonts w:ascii="Arial" w:hAnsi="Arial" w:cs="Arial" w:eastAsia="Arial"/>
          <w:b/>
          <w:bCs/>
          <w:color w:val="3B7DD8"/>
          <w:sz w:val="26"/>
          <w:szCs w:val="26"/>
        </w:rPr>
        <w:t xml:space="preserve">  </w:t>
      </w:r>
      <w:r>
        <w:rPr>
          <w:rFonts w:ascii="Arial" w:hAnsi="Arial" w:cs="Arial" w:eastAsia="Arial"/>
          <w:b/>
          <w:bCs/>
          <w:color w:val="12284B"/>
          <w:sz w:val="26"/>
          <w:szCs w:val="26"/>
        </w:rPr>
        <w:t>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Q4)</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 **</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14.27</w:t>
            </w:r>
          </w:p>
        </w:tc>
        <w:tc>
          <w:tcPr>
            <w:tcW w:type="dxa" w:w="1663"/>
          </w:tcPr>
          <w:p>
            <w:pPr>
              <w:spacing w:before="0" w:after="0" w:line="264" w:lineRule="auto"/>
            </w:pPr>
            <w:r>
              <w:rPr>
                <w:rFonts w:ascii="Arial" w:hAnsi="Arial" w:cs="Arial" w:eastAsia="Arial"/>
                <w:color w:val="0E1E3A"/>
                <w:sz w:val="17"/>
                <w:szCs w:val="17"/>
              </w:rPr>
              <w:t>14.27</w:t>
            </w:r>
          </w:p>
        </w:tc>
        <w:tc>
          <w:tcPr>
            <w:tcW w:type="dxa" w:w="1663"/>
          </w:tcPr>
          <w:p>
            <w:pPr>
              <w:spacing w:before="0" w:after="0" w:line="264" w:lineRule="auto"/>
            </w:pPr>
            <w:r>
              <w:rPr>
                <w:rFonts w:ascii="Arial" w:hAnsi="Arial" w:cs="Arial" w:eastAsia="Arial"/>
                <w:color w:val="0E1E3A"/>
                <w:sz w:val="17"/>
                <w:szCs w:val="17"/>
              </w:rPr>
              <w:t>15.23</w:t>
            </w:r>
          </w:p>
        </w:tc>
        <w:tc>
          <w:tcPr>
            <w:tcW w:type="dxa" w:w="1663"/>
          </w:tcPr>
          <w:p>
            <w:pPr>
              <w:spacing w:before="0" w:after="0" w:line="264" w:lineRule="auto"/>
            </w:pPr>
            <w:r>
              <w:rPr>
                <w:rFonts w:ascii="Arial" w:hAnsi="Arial" w:cs="Arial" w:eastAsia="Arial"/>
                <w:color w:val="0E1E3A"/>
                <w:sz w:val="17"/>
                <w:szCs w:val="17"/>
              </w:rPr>
              <w:t>12.58</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-1.09</w:t>
            </w:r>
          </w:p>
        </w:tc>
        <w:tc>
          <w:tcPr>
            <w:tcW w:type="dxa" w:w="1663"/>
          </w:tcPr>
          <w:p>
            <w:pPr>
              <w:spacing w:before="0" w:after="0" w:line="264" w:lineRule="auto"/>
            </w:pPr>
            <w:r>
              <w:rPr>
                <w:rFonts w:ascii="Arial" w:hAnsi="Arial" w:cs="Arial" w:eastAsia="Arial"/>
                <w:color w:val="0E1E3A"/>
                <w:sz w:val="17"/>
                <w:szCs w:val="17"/>
              </w:rPr>
              <w:t>-1.09</w:t>
            </w:r>
          </w:p>
        </w:tc>
        <w:tc>
          <w:tcPr>
            <w:tcW w:type="dxa" w:w="1663"/>
          </w:tcPr>
          <w:p>
            <w:pPr>
              <w:spacing w:before="0" w:after="0" w:line="264" w:lineRule="auto"/>
            </w:pPr>
            <w:r>
              <w:rPr>
                <w:rFonts w:ascii="Arial" w:hAnsi="Arial" w:cs="Arial" w:eastAsia="Arial"/>
                <w:color w:val="0E1E3A"/>
                <w:sz w:val="17"/>
                <w:szCs w:val="17"/>
              </w:rPr>
              <w:t>1.10</w:t>
            </w:r>
          </w:p>
        </w:tc>
        <w:tc>
          <w:tcPr>
            <w:tcW w:type="dxa" w:w="1663"/>
          </w:tcPr>
          <w:p>
            <w:pPr>
              <w:spacing w:before="0" w:after="0" w:line="264" w:lineRule="auto"/>
            </w:pPr>
            <w:r>
              <w:rPr>
                <w:rFonts w:ascii="Arial" w:hAnsi="Arial" w:cs="Arial" w:eastAsia="Arial"/>
                <w:color w:val="0E1E3A"/>
                <w:sz w:val="17"/>
                <w:szCs w:val="17"/>
              </w:rPr>
              <w:t>0.82</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2.45</w:t>
            </w:r>
          </w:p>
        </w:tc>
        <w:tc>
          <w:tcPr>
            <w:tcW w:type="dxa" w:w="1663"/>
          </w:tcPr>
          <w:p>
            <w:pPr>
              <w:spacing w:before="0" w:after="0" w:line="264" w:lineRule="auto"/>
            </w:pPr>
            <w:r>
              <w:rPr>
                <w:rFonts w:ascii="Arial" w:hAnsi="Arial" w:cs="Arial" w:eastAsia="Arial"/>
                <w:color w:val="0E1E3A"/>
                <w:sz w:val="17"/>
                <w:szCs w:val="17"/>
              </w:rPr>
              <w:t>2.45</w:t>
            </w:r>
          </w:p>
        </w:tc>
        <w:tc>
          <w:tcPr>
            <w:tcW w:type="dxa" w:w="1663"/>
          </w:tcPr>
          <w:p>
            <w:pPr>
              <w:spacing w:before="0" w:after="0" w:line="264" w:lineRule="auto"/>
            </w:pPr>
            <w:r>
              <w:rPr>
                <w:rFonts w:ascii="Arial" w:hAnsi="Arial" w:cs="Arial" w:eastAsia="Arial"/>
                <w:color w:val="0E1E3A"/>
                <w:sz w:val="17"/>
                <w:szCs w:val="17"/>
              </w:rPr>
              <w:t>2.85</w:t>
            </w:r>
          </w:p>
        </w:tc>
        <w:tc>
          <w:tcPr>
            <w:tcW w:type="dxa" w:w="1663"/>
          </w:tcPr>
          <w:p>
            <w:pPr>
              <w:spacing w:before="0" w:after="0" w:line="264" w:lineRule="auto"/>
            </w:pPr>
            <w:r>
              <w:rPr>
                <w:rFonts w:ascii="Arial" w:hAnsi="Arial" w:cs="Arial" w:eastAsia="Arial"/>
                <w:color w:val="0E1E3A"/>
                <w:sz w:val="17"/>
                <w:szCs w:val="17"/>
              </w:rPr>
              <w:t>5.82</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1.01</w:t>
            </w:r>
          </w:p>
        </w:tc>
        <w:tc>
          <w:tcPr>
            <w:tcW w:type="dxa" w:w="1663"/>
          </w:tcPr>
          <w:p>
            <w:pPr>
              <w:spacing w:before="0" w:after="0" w:line="264" w:lineRule="auto"/>
            </w:pPr>
            <w:r>
              <w:rPr>
                <w:rFonts w:ascii="Arial" w:hAnsi="Arial" w:cs="Arial" w:eastAsia="Arial"/>
                <w:color w:val="0E1E3A"/>
                <w:sz w:val="17"/>
                <w:szCs w:val="17"/>
              </w:rPr>
              <w:t>1.01</w:t>
            </w:r>
          </w:p>
        </w:tc>
        <w:tc>
          <w:tcPr>
            <w:tcW w:type="dxa" w:w="1663"/>
          </w:tcPr>
          <w:p>
            <w:pPr>
              <w:spacing w:before="0" w:after="0" w:line="264" w:lineRule="auto"/>
            </w:pPr>
            <w:r>
              <w:rPr>
                <w:rFonts w:ascii="Arial" w:hAnsi="Arial" w:cs="Arial" w:eastAsia="Arial"/>
                <w:color w:val="0E1E3A"/>
                <w:sz w:val="17"/>
                <w:szCs w:val="17"/>
              </w:rPr>
              <w:t>0.97</w:t>
            </w:r>
          </w:p>
        </w:tc>
        <w:tc>
          <w:tcPr>
            <w:tcW w:type="dxa" w:w="1663"/>
          </w:tcPr>
          <w:p>
            <w:pPr>
              <w:spacing w:before="0" w:after="0" w:line="264" w:lineRule="auto"/>
            </w:pPr>
            <w:r>
              <w:rPr>
                <w:rFonts w:ascii="Arial" w:hAnsi="Arial" w:cs="Arial" w:eastAsia="Arial"/>
                <w:color w:val="0E1E3A"/>
                <w:sz w:val="17"/>
                <w:szCs w:val="17"/>
              </w:rPr>
              <w:t>0.91</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-5.36%</w:t>
            </w:r>
          </w:p>
        </w:tc>
        <w:tc>
          <w:tcPr>
            <w:tcW w:type="dxa" w:w="1663"/>
          </w:tcPr>
          <w:p>
            <w:pPr>
              <w:spacing w:before="0" w:after="0" w:line="264" w:lineRule="auto"/>
            </w:pPr>
            <w:r>
              <w:rPr>
                <w:rFonts w:ascii="Arial" w:hAnsi="Arial" w:cs="Arial" w:eastAsia="Arial"/>
                <w:color w:val="0E1E3A"/>
                <w:sz w:val="17"/>
                <w:szCs w:val="17"/>
              </w:rPr>
              <w:t>-5.36%</w:t>
            </w:r>
          </w:p>
        </w:tc>
        <w:tc>
          <w:tcPr>
            <w:tcW w:type="dxa" w:w="1663"/>
          </w:tcPr>
          <w:p>
            <w:pPr>
              <w:spacing w:before="0" w:after="0" w:line="264" w:lineRule="auto"/>
            </w:pPr>
            <w:r>
              <w:rPr>
                <w:rFonts w:ascii="Arial" w:hAnsi="Arial" w:cs="Arial" w:eastAsia="Arial"/>
                <w:color w:val="0E1E3A"/>
                <w:sz w:val="17"/>
                <w:szCs w:val="17"/>
              </w:rPr>
              <w:t>-2.11%</w:t>
            </w:r>
          </w:p>
        </w:tc>
        <w:tc>
          <w:tcPr>
            <w:tcW w:type="dxa" w:w="1663"/>
          </w:tcPr>
          <w:p>
            <w:pPr>
              <w:spacing w:before="0" w:after="0" w:line="264" w:lineRule="auto"/>
            </w:pPr>
            <w:r>
              <w:rPr>
                <w:rFonts w:ascii="Arial" w:hAnsi="Arial" w:cs="Arial" w:eastAsia="Arial"/>
                <w:color w:val="0E1E3A"/>
                <w:sz w:val="17"/>
                <w:szCs w:val="17"/>
              </w:rPr>
              <w:t>1.75%</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-2.19</w:t>
            </w:r>
          </w:p>
        </w:tc>
        <w:tc>
          <w:tcPr>
            <w:tcW w:type="dxa" w:w="1663"/>
          </w:tcPr>
          <w:p>
            <w:pPr>
              <w:spacing w:before="0" w:after="0" w:line="264" w:lineRule="auto"/>
            </w:pPr>
            <w:r>
              <w:rPr>
                <w:rFonts w:ascii="Arial" w:hAnsi="Arial" w:cs="Arial" w:eastAsia="Arial"/>
                <w:color w:val="0E1E3A"/>
                <w:sz w:val="17"/>
                <w:szCs w:val="17"/>
              </w:rPr>
              <w:t>-2.19</w:t>
            </w:r>
          </w:p>
        </w:tc>
        <w:tc>
          <w:tcPr>
            <w:tcW w:type="dxa" w:w="1663"/>
          </w:tcPr>
          <w:p>
            <w:pPr>
              <w:spacing w:before="0" w:after="0" w:line="264" w:lineRule="auto"/>
            </w:pPr>
            <w:r>
              <w:rPr>
                <w:rFonts w:ascii="Arial" w:hAnsi="Arial" w:cs="Arial" w:eastAsia="Arial"/>
                <w:color w:val="0E1E3A"/>
                <w:sz w:val="17"/>
                <w:szCs w:val="17"/>
              </w:rPr>
              <w:t>-0.74</w:t>
            </w:r>
          </w:p>
        </w:tc>
        <w:tc>
          <w:tcPr>
            <w:tcW w:type="dxa" w:w="1663"/>
          </w:tcPr>
          <w:p>
            <w:pPr>
              <w:spacing w:before="0" w:after="0" w:line="264" w:lineRule="auto"/>
            </w:pPr>
            <w:r>
              <w:rPr>
                <w:rFonts w:ascii="Arial" w:hAnsi="Arial" w:cs="Arial" w:eastAsia="Arial"/>
                <w:color w:val="0E1E3A"/>
                <w:sz w:val="17"/>
                <w:szCs w:val="17"/>
              </w:rPr>
              <w:t>0.30</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7"/>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p)</w:t>
      </w:r>
      <w:r>
        <w:rPr>
          <w:rFonts w:ascii="Arial" w:hAnsi="Arial" w:cs="Arial" w:eastAsia="Arial"/>
          <w:b/>
          <w:bCs/>
          <w:color w:val="3B7DD8"/>
          <w:sz w:val="26"/>
          <w:szCs w:val="26"/>
        </w:rPr>
        <w:t xml:space="preserve">  </w:t>
      </w:r>
      <w:r>
        <w:rPr>
          <w:rFonts w:ascii="Arial" w:hAnsi="Arial" w:cs="Arial" w:eastAsia="Arial"/>
          <w:b/>
          <w:bCs/>
          <w:color w:val="12284B"/>
          <w:sz w:val="26"/>
          <w:szCs w:val="26"/>
        </w:rPr>
        <w:t>Equations Used to Calculate 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spacing w:before="0" w:after="0" w:line="264" w:lineRule="auto"/>
            </w:pPr>
            <w:r>
              <w:rPr>
                <w:rFonts w:ascii="Arial" w:hAnsi="Arial" w:cs="Arial" w:eastAsia="Arial"/>
                <w:color w:val="0E1E3A"/>
                <w:sz w:val="17"/>
                <w:szCs w:val="17"/>
              </w:rPr>
              <w:t>Standard Deviation</w:t>
            </w:r>
          </w:p>
        </w:tc>
        <w:tc>
          <w:tcPr>
            <w:tcW w:type="dxa" w:w="3326"/>
          </w:tcPr>
          <w:p>
            <w:pPr>
              <w:spacing w:before="0" w:after="0" w:line="264" w:lineRule="auto"/>
            </w:pPr>
            <w:r>
              <w:rPr>
                <w:rFonts w:ascii="Arial" w:hAnsi="Arial" w:cs="Arial" w:eastAsia="Arial"/>
                <w:color w:val="0E1E3A"/>
                <w:sz w:val="17"/>
                <w:szCs w:val="17"/>
              </w:rPr>
              <w:t>σp = √[ 1/(N − 1) · Σ(Rp,i − Rp)²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Sharpe Ratio</w:t>
            </w:r>
          </w:p>
        </w:tc>
        <w:tc>
          <w:tcPr>
            <w:tcW w:type="dxa" w:w="3326"/>
          </w:tcPr>
          <w:p>
            <w:pPr>
              <w:spacing w:before="0" w:after="0" w:line="264" w:lineRule="auto"/>
            </w:pPr>
            <w:r>
              <w:rPr>
                <w:rFonts w:ascii="Arial" w:hAnsi="Arial" w:cs="Arial" w:eastAsia="Arial"/>
                <w:color w:val="0E1E3A"/>
                <w:sz w:val="17"/>
                <w:szCs w:val="17"/>
              </w:rPr>
              <w:t>[(Average Annualised Return − Risk Free Rate) ÷ Standard Deviation]</w:t>
            </w:r>
          </w:p>
        </w:tc>
        <w:tc>
          <w:tcPr>
            <w:tcW w:type="dxa" w:w="3326"/>
          </w:tcPr>
          <w:p>
            <w:pPr>
              <w:spacing w:before="0" w:after="0" w:line="264" w:lineRule="auto"/>
            </w:pPr>
          </w:p>
        </w:tc>
      </w:tr>
      <w:tr>
        <w:tc>
          <w:tcPr>
            <w:tcW w:type="dxa" w:w="3326"/>
          </w:tcPr>
          <w:p>
            <w:pPr>
              <w:spacing w:before="0" w:after="0" w:line="264" w:lineRule="auto"/>
            </w:pPr>
            <w:r>
              <w:rPr>
                <w:rFonts w:ascii="Arial" w:hAnsi="Arial" w:cs="Arial" w:eastAsia="Arial"/>
                <w:color w:val="0E1E3A"/>
                <w:sz w:val="17"/>
                <w:szCs w:val="17"/>
              </w:rPr>
              <w:t>Tracking Error</w:t>
            </w:r>
          </w:p>
        </w:tc>
        <w:tc>
          <w:tcPr>
            <w:tcW w:type="dxa" w:w="3326"/>
          </w:tcPr>
          <w:p>
            <w:pPr>
              <w:spacing w:before="0" w:after="0" w:line="264" w:lineRule="auto"/>
            </w:pPr>
            <w:r>
              <w:rPr>
                <w:rFonts w:ascii="Arial" w:hAnsi="Arial" w:cs="Arial" w:eastAsia="Arial"/>
                <w:color w:val="0E1E3A"/>
                <w:sz w:val="17"/>
                <w:szCs w:val="17"/>
              </w:rPr>
              <w:t>TE = √[ 1/(N − 1) · Σ[(Rp,i − Rb,i) − (Rp − Rb)]²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Rb,i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Rb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Beta</w:t>
            </w:r>
          </w:p>
        </w:tc>
        <w:tc>
          <w:tcPr>
            <w:tcW w:type="dxa" w:w="3326"/>
          </w:tcPr>
          <w:p>
            <w:pPr>
              <w:spacing w:before="0" w:after="0" w:line="264" w:lineRule="auto"/>
            </w:pPr>
            <w:r>
              <w:rPr>
                <w:rFonts w:ascii="Arial" w:hAnsi="Arial" w:cs="Arial" w:eastAsia="Arial"/>
                <w:color w:val="0E1E3A"/>
                <w:sz w:val="17"/>
                <w:szCs w:val="17"/>
              </w:rPr>
              <w:t>β = Cov(Rp, Rb) / Var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Cov(Rp, Rb)= covariance between portfolio and benchmark returns</w:t>
            </w:r>
            <w:r>
              <w:br/>
            </w:r>
            <w:r>
              <w:rPr>
                <w:rFonts w:ascii="Arial" w:hAnsi="Arial" w:cs="Arial" w:eastAsia="Arial"/>
                <w:color w:val="0E1E3A"/>
                <w:sz w:val="17"/>
                <w:szCs w:val="17"/>
              </w:rPr>
              <w:t>Var (Rb)= variance of benchmark returns</w:t>
            </w:r>
          </w:p>
        </w:tc>
      </w:tr>
      <w:tr>
        <w:tc>
          <w:tcPr>
            <w:tcW w:type="dxa" w:w="3326"/>
          </w:tcPr>
          <w:p>
            <w:pPr>
              <w:spacing w:before="0" w:after="0" w:line="264" w:lineRule="auto"/>
            </w:pPr>
            <w:r>
              <w:rPr>
                <w:rFonts w:ascii="Arial" w:hAnsi="Arial" w:cs="Arial" w:eastAsia="Arial"/>
                <w:color w:val="0E1E3A"/>
                <w:sz w:val="17"/>
                <w:szCs w:val="17"/>
              </w:rPr>
              <w:t>Alpha</w:t>
            </w:r>
          </w:p>
        </w:tc>
        <w:tc>
          <w:tcPr>
            <w:tcW w:type="dxa" w:w="3326"/>
          </w:tcPr>
          <w:p>
            <w:pPr>
              <w:spacing w:before="0" w:after="0" w:line="264" w:lineRule="auto"/>
            </w:pPr>
            <w:r>
              <w:rPr>
                <w:rFonts w:ascii="Arial" w:hAnsi="Arial" w:cs="Arial" w:eastAsia="Arial"/>
                <w:color w:val="0E1E3A"/>
                <w:sz w:val="17"/>
                <w:szCs w:val="17"/>
              </w:rPr>
              <w:t>α = Rp − [ Rf + β ∗ (Rb − Rf)]</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average portfolio return</w:t>
            </w:r>
            <w:r>
              <w:br/>
            </w:r>
            <w:r>
              <w:rPr>
                <w:rFonts w:ascii="Arial" w:hAnsi="Arial" w:cs="Arial" w:eastAsia="Arial"/>
                <w:color w:val="0E1E3A"/>
                <w:sz w:val="17"/>
                <w:szCs w:val="17"/>
              </w:rPr>
              <w:t>(Rb)= average benchmark return</w:t>
            </w:r>
            <w:r>
              <w:br/>
            </w:r>
            <w:r>
              <w:rPr>
                <w:rFonts w:ascii="Arial" w:hAnsi="Arial" w:cs="Arial" w:eastAsia="Arial"/>
                <w:color w:val="0E1E3A"/>
                <w:sz w:val="17"/>
                <w:szCs w:val="17"/>
              </w:rPr>
              <w:t>(Rf)= risk free rate</w:t>
            </w:r>
            <w:r>
              <w:br/>
            </w:r>
            <w:r>
              <w:rPr>
                <w:rFonts w:ascii="Arial" w:hAnsi="Arial" w:cs="Arial" w:eastAsia="Arial"/>
                <w:color w:val="0E1E3A"/>
                <w:sz w:val="17"/>
                <w:szCs w:val="17"/>
              </w:rPr>
              <w:t>β= portfolio beta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q)</w:t>
      </w:r>
      <w:r>
        <w:rPr>
          <w:rFonts w:ascii="Arial" w:hAnsi="Arial" w:cs="Arial" w:eastAsia="Arial"/>
          <w:b/>
          <w:bCs/>
          <w:color w:val="3B7DD8"/>
          <w:sz w:val="26"/>
          <w:szCs w:val="26"/>
        </w:rPr>
        <w:t xml:space="preserve">  </w:t>
      </w:r>
      <w:r>
        <w:rPr>
          <w:rFonts w:ascii="Arial" w:hAnsi="Arial" w:cs="Arial" w:eastAsia="Arial"/>
          <w:b/>
          <w:bCs/>
          <w:color w:val="12284B"/>
          <w:sz w:val="26"/>
          <w:szCs w:val="26"/>
        </w:rPr>
        <w:t>Graph Depicting Peformance as of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2" name="Picture 9059"/>
            <wp:cNvGraphicFramePr>
              <a:graphicFrameLocks noChangeAspect="1"/>
            </wp:cNvGraphicFramePr>
            <a:graphic>
              <a:graphicData uri="http://schemas.openxmlformats.org/drawingml/2006/picture">
                <pic:pic>
                  <pic:nvPicPr>
                    <pic:cNvPr id="0" name="x5.j.jpg"/>
                    <pic:cNvPicPr/>
                  </pic:nvPicPr>
                  <pic:blipFill>
                    <a:blip r:embed="rId24"/>
                    <a:stretch>
                      <a:fillRect/>
                    </a:stretch>
                  </pic:blipFill>
                  <pic:spPr>
                    <a:xfrm>
                      <a:off x="0" y="0"/>
                      <a:ext cx="6336000" cy="3072864"/>
                    </a:xfrm>
                    <a:prstGeom prst="rect"/>
                  </pic:spPr>
                </pic:pic>
              </a:graphicData>
            </a:graphic>
          </wp:inline>
        </w:drawing>
      </w:r>
    </w:p>
    <w:p>
      <w:pPr>
        <w:spacing w:before="0" w:after="80" w:line="312" w:lineRule="auto"/>
      </w:pPr>
      <w:r>
        <w:rPr>
          <w:rFonts w:ascii="Arial" w:hAnsi="Arial" w:cs="Arial" w:eastAsia="Arial"/>
          <w:color w:val="5A6478"/>
          <w:sz w:val="17"/>
          <w:szCs w:val="17"/>
        </w:rPr>
        <w:t>As of 31 March 2026.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60"/>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61"/>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Q1 2026</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