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1"/>
            <wp:cNvGraphicFramePr/>
            <a:graphic>
              <a:graphicData uri="http://schemas.openxmlformats.org/drawingml/2006/picture">
                <pic:pic>
                  <pic:nvPicPr>
                    <pic:cNvPr id="9031" name="banner9031.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2"/>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للنمو والدخل المتداول"، هو صندوق استثمار أسهم عام متداول مغلق متوافق مع ضوابط الهيئة الشرعية، تم إنشاؤه بموجب الأنظمة واللوائح المعمول بها في المملكة ويخضع لرقابة وإشراف هيئة السوق المالية. ويتمثل الهدف الاستثماري للصندوق في تنمية صافي قيمة أصول الصندوق من خلال أداء استثماراته على المدى الطويل وتحقيق دخل دوري للمستثمرين من خلال توزيع عوائد الشركات التي يستثمر بها الصندوق، بالإضافة إلى جزء من الأرباح الرأسمالية الناتجة عن نمو القيمة السوقية للأوراق المالية المستثمر بها. حيث يتم ذلك عن طريق الاستثمار في محفظة متنوعة من الأسهم العالمية، وصناديق الأسهم العامة والخاصة، وطروحات الشركات للاكتتاب العام، والطروحات الخاصة والنقد وما في حكمه.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AKGRINF AB EQUITY</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9.3614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937,798,714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w:t>
            </w:r>
          </w:p>
        </w:tc>
        <w:tc>
          <w:tcPr>
            <w:tcW w:type="dxa" w:w="6860"/>
          </w:tcPr>
          <w:p>
            <w:pPr>
              <w:bidi w:val="1"/>
              <w:spacing w:before="0" w:after="0" w:line="276" w:lineRule="auto"/>
            </w:pPr>
            <w:r>
              <w:rPr>
                <w:rFonts w:ascii="Arial" w:hAnsi="Arial" w:cs="Arial" w:eastAsia="Arial"/>
                <w:b/>
                <w:bCs/>
                <w:color w:val="0E1E3A"/>
                <w:sz w:val="18"/>
                <w:szCs w:val="18"/>
                <w:rtl/>
              </w:rPr>
              <w:t>مليار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ونسبة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2022م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 *</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5"/>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يوضح الرسم البياني أكبر الاستثمارات في الصندوق والتوزيع القطاعي للاستثمارات معًا.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يوميًا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937,798,714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936,141,281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مصاريف التعامل للربع المعني</w:t>
            </w:r>
          </w:p>
        </w:tc>
        <w:tc>
          <w:tcPr>
            <w:tcW w:type="dxa" w:w="6860"/>
          </w:tcPr>
          <w:p>
            <w:pPr>
              <w:bidi w:val="1"/>
              <w:spacing w:before="0" w:after="0" w:line="276" w:lineRule="auto"/>
            </w:pPr>
            <w:r>
              <w:rPr>
                <w:rFonts w:ascii="Arial" w:hAnsi="Arial" w:cs="Arial" w:eastAsia="Arial"/>
                <w:b/>
                <w:bCs/>
                <w:color w:val="0E1E3A"/>
                <w:sz w:val="18"/>
                <w:szCs w:val="18"/>
                <w:rtl/>
              </w:rPr>
              <w:t>1,716,017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إلى متوسط 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Pr>
              <w:t>‎0.18%‎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‎0.21%‎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‎0.21%‎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‎0.20%‎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1,977,512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‎0.20%‎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2022م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خلا الربع المعني = 977,950,952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38"/>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أسهم مدرجة</w:t>
            </w:r>
          </w:p>
        </w:tc>
        <w:tc>
          <w:tcPr>
            <w:tcW w:type="dxa" w:w="6860"/>
          </w:tcPr>
          <w:p>
            <w:pPr>
              <w:bidi w:val="1"/>
              <w:spacing w:before="0" w:after="0" w:line="276" w:lineRule="auto"/>
            </w:pPr>
            <w:r>
              <w:rPr>
                <w:rFonts w:ascii="Arial" w:hAnsi="Arial" w:cs="Arial" w:eastAsia="Arial"/>
                <w:b/>
                <w:bCs/>
                <w:color w:val="0E1E3A"/>
                <w:sz w:val="18"/>
                <w:szCs w:val="18"/>
                <w:rtl/>
              </w:rPr>
              <w:t>820,243,326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117,555,388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1,000,000,000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691,000,000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 *</w:t>
      </w:r>
    </w:p>
    <w:p>
      <w:pPr>
        <w:bidi w:val="1"/>
        <w:spacing w:before="0" w:after="80" w:line="240" w:lineRule="auto"/>
        <w:jc w:val="center"/>
      </w:pPr>
      <w:r>
        <w:drawing>
          <wp:inline xmlns:a="http://schemas.openxmlformats.org/drawingml/2006/main" xmlns:pic="http://schemas.openxmlformats.org/drawingml/2006/picture">
            <wp:extent cx="6336000" cy="3082378"/>
            <wp:docPr id="12" name="Picture 9042"/>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82378"/>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الثاني (30 يونيو 2022م)</w:t>
            </w:r>
          </w:p>
        </w:tc>
        <w:tc>
          <w:tcPr>
            <w:tcW w:type="dxa" w:w="6860"/>
          </w:tcPr>
          <w:p>
            <w:pPr>
              <w:bidi w:val="1"/>
              <w:spacing w:before="0" w:after="0" w:line="276" w:lineRule="auto"/>
            </w:pPr>
            <w:r>
              <w:rPr>
                <w:rFonts w:ascii="Arial" w:hAnsi="Arial" w:cs="Arial" w:eastAsia="Arial"/>
                <w:b/>
                <w:bCs/>
                <w:color w:val="0E1E3A"/>
                <w:sz w:val="18"/>
                <w:szCs w:val="18"/>
                <w:rtl/>
              </w:rPr>
              <w:t>6.91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(من تاريخ الإدراج إلى 30 يونيو 2022م)</w:t>
            </w:r>
          </w:p>
        </w:tc>
        <w:tc>
          <w:tcPr>
            <w:tcW w:type="dxa" w:w="6860"/>
          </w:tcPr>
          <w:p>
            <w:pPr>
              <w:bidi w:val="1"/>
              <w:spacing w:before="0" w:after="0" w:line="276" w:lineRule="auto"/>
            </w:pPr>
            <w:r>
              <w:rPr>
                <w:rFonts w:ascii="Arial" w:hAnsi="Arial" w:cs="Arial" w:eastAsia="Arial"/>
                <w:b/>
                <w:bCs/>
                <w:color w:val="0E1E3A"/>
                <w:sz w:val="18"/>
                <w:szCs w:val="18"/>
              </w:rPr>
              <w:t>‎-30.90%‎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الثاني 2022م)</w:t>
            </w:r>
          </w:p>
        </w:tc>
        <w:tc>
          <w:tcPr>
            <w:tcW w:type="dxa" w:w="6860"/>
          </w:tcPr>
          <w:p>
            <w:pPr>
              <w:bidi w:val="1"/>
              <w:spacing w:before="0" w:after="0" w:line="276" w:lineRule="auto"/>
            </w:pPr>
            <w:r>
              <w:rPr>
                <w:rFonts w:ascii="Arial" w:hAnsi="Arial" w:cs="Arial" w:eastAsia="Arial"/>
                <w:b/>
                <w:bCs/>
                <w:color w:val="0E1E3A"/>
                <w:sz w:val="18"/>
                <w:szCs w:val="18"/>
              </w:rPr>
              <w:t>‎-30.90%‎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10.90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6.90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100,000,000 وحدة</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4"/>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يحق لمدير الصندوق وفق ما يقرره مناسبًا، 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صافي عوائد استثمارات الصندوق والتي تشمل فقط توزيعات الأسهم المدرجة التي يستثمر بها الصندوق، وتوزيع حتى </w:t>
            </w:r>
            <w:r>
              <w:rPr>
                <w:rFonts w:ascii="Arial" w:hAnsi="Arial" w:cs="Arial" w:eastAsia="Arial"/>
                <w:b/>
                <w:bCs/>
                <w:color w:val="0E1E3A"/>
                <w:sz w:val="18"/>
                <w:szCs w:val="18"/>
              </w:rPr>
              <w:t>‎50%‎</w:t>
            </w:r>
            <w:r>
              <w:rPr>
                <w:rFonts w:ascii="Arial" w:hAnsi="Arial" w:cs="Arial" w:eastAsia="Arial"/>
                <w:b/>
                <w:bCs/>
                <w:color w:val="0E1E3A"/>
                <w:sz w:val="18"/>
                <w:szCs w:val="18"/>
                <w:rtl/>
              </w:rPr>
              <w:t xml:space="preserve"> من صافي الأرباح الرأسمالية المحققة وغير المحققة مرتين سنويًا، وذلك خلال (40) يوم عمل من تاريخ إصدار القوائم المالية نصف السنوية والسنوية وسيتم الإعلان عن التوزيعات (إن وجدت) خلال (10) أيام عمل من تاريخ إصدار القوائم المالية النصف السنوية والسنوية، وسيتم الإعلان عن تفاصيل التوزيعات النقدية من خلال موقع تداول السعودية.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فتره نصف سنوية</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الأرباح المستلمة من الأسهم المدرجة التي يستثمر بها الصندوق</w:t>
            </w:r>
          </w:p>
        </w:tc>
        <w:tc>
          <w:tcPr>
            <w:tcW w:type="dxa" w:w="6860"/>
          </w:tcPr>
          <w:p>
            <w:pPr>
              <w:bidi w:val="1"/>
              <w:spacing w:before="0" w:after="0" w:line="276" w:lineRule="auto"/>
            </w:pPr>
            <w:r>
              <w:rPr>
                <w:rFonts w:ascii="Arial" w:hAnsi="Arial" w:cs="Arial" w:eastAsia="Arial"/>
                <w:b/>
                <w:bCs/>
                <w:color w:val="0E1E3A"/>
                <w:sz w:val="18"/>
                <w:szCs w:val="18"/>
                <w:rtl/>
              </w:rPr>
              <w:t>804,909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(خسائر) غير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(57,752,430)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(خسائر) غير محققة من فروقات عملة أجنبية</w:t>
            </w:r>
          </w:p>
        </w:tc>
        <w:tc>
          <w:tcPr>
            <w:tcW w:type="dxa" w:w="6860"/>
          </w:tcPr>
          <w:p>
            <w:pPr>
              <w:bidi w:val="1"/>
              <w:spacing w:before="0" w:after="0" w:line="276" w:lineRule="auto"/>
            </w:pPr>
            <w:r>
              <w:rPr>
                <w:rFonts w:ascii="Arial" w:hAnsi="Arial" w:cs="Arial" w:eastAsia="Arial"/>
                <w:b/>
                <w:bCs/>
                <w:color w:val="0E1E3A"/>
                <w:sz w:val="18"/>
                <w:szCs w:val="18"/>
                <w:rtl/>
              </w:rPr>
              <w:t>(4,933,686)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(61,881,207)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كما في 30 يونيو 2022م</w:t>
            </w:r>
          </w:p>
        </w:tc>
        <w:tc>
          <w:tcPr>
            <w:tcW w:type="dxa" w:w="6860"/>
          </w:tcPr>
          <w:p>
            <w:pPr>
              <w:bidi w:val="1"/>
              <w:spacing w:before="0" w:after="0" w:line="276" w:lineRule="auto"/>
            </w:pPr>
            <w:r>
              <w:rPr>
                <w:rFonts w:ascii="Arial" w:hAnsi="Arial" w:cs="Arial" w:eastAsia="Arial"/>
                <w:b/>
                <w:bCs/>
                <w:color w:val="0E1E3A"/>
                <w:sz w:val="18"/>
                <w:szCs w:val="18"/>
              </w:rPr>
              <w:t>‎-8.96%‎</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لصافي قيمة الوحدة منذ تاريخ البدء</w:t>
            </w:r>
          </w:p>
        </w:tc>
        <w:tc>
          <w:tcPr>
            <w:tcW w:type="dxa" w:w="6860"/>
          </w:tcPr>
          <w:p>
            <w:pPr>
              <w:bidi w:val="1"/>
              <w:spacing w:before="0" w:after="0" w:line="276" w:lineRule="auto"/>
            </w:pPr>
            <w:r>
              <w:rPr>
                <w:rFonts w:ascii="Arial" w:hAnsi="Arial" w:cs="Arial" w:eastAsia="Arial"/>
                <w:b/>
                <w:bCs/>
                <w:color w:val="0E1E3A"/>
                <w:sz w:val="18"/>
                <w:szCs w:val="18"/>
              </w:rPr>
              <w:t>‎-6.39%‎</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مؤشر الخبير للأسهم العالمية وهو مؤشر تم إنشاؤه خصيصًا لصالح الصندوق بالتعاون مع مقدم خدمة المؤشر والذي سيقوم بحساب قيم الشركات المضمنة في المؤشر وإدارته لمصلحة الصندوق. ويشمل المؤشر شركات متنوعة القطاعات والأحجام في أكبر الأسواق المالية العالمية، بالإضافة إلى أكبر الشركات القيادية في المملكة العربية السعودية بعد فلترة الشركات بناء على قيمة سوقية تتجاوز 100 مليون دولار أمريكي وقيمة متداولة تتجاوز مليون دولار أمريكي يوميًا. وسوف يشمل المؤشر 160 شركة عالمية تمثل أكبر الأسواق المالية العالمية، بالإضافة إلى أكبر 10 شركات في المملكة العربية السعودية متوافقة مع ضوابط اللجنة الشرعية. وسيتم تقسيم الشركات العالمية بحسب القيم السوقية على ثلاث فئات: أكبر 70 شركة من حيث القيم السوقية للأسهم الحرة من ضمن الشركات ذات القيم السوقية الكبيرة، وأكبر 50 شركة من حيث القيم السوقية للأسهم الحرة من ضمن الشركات ذات القيم السوقية المتوسطة، وأكبر 40 شركة من حيث القيم السوقية للأسهم الحرة من ضمن الشركات ذات القيم السوقية الصغيرة.</w:t>
      </w:r>
    </w:p>
    <w:p>
      <w:pPr>
        <w:bidi w:val="1"/>
        <w:spacing w:before="0" w:after="80" w:line="312" w:lineRule="auto"/>
      </w:pPr>
      <w:r>
        <w:rPr>
          <w:rFonts w:ascii="Arial" w:hAnsi="Arial" w:cs="Arial" w:eastAsia="Arial"/>
          <w:color w:val="0E1E3A"/>
          <w:sz w:val="20"/>
          <w:szCs w:val="20"/>
          <w:rtl/>
        </w:rPr>
        <w:t xml:space="preserve">يتم تعريف الشركات ذات القيمة السوقية الكبيرة بأنها تلك الشركات التي تمثل أكبر قيمة سوقية وهي الشركة من شريحة الشركات التي تمثل إلى أو ما يساوي </w:t>
      </w:r>
      <w:r>
        <w:rPr>
          <w:rFonts w:ascii="Arial" w:hAnsi="Arial" w:cs="Arial" w:eastAsia="Arial"/>
          <w:color w:val="0E1E3A"/>
          <w:sz w:val="20"/>
          <w:szCs w:val="20"/>
        </w:rPr>
        <w:t>‎70%‎</w:t>
      </w:r>
      <w:r>
        <w:rPr>
          <w:rFonts w:ascii="Arial" w:hAnsi="Arial" w:cs="Arial" w:eastAsia="Arial"/>
          <w:color w:val="0E1E3A"/>
          <w:sz w:val="20"/>
          <w:szCs w:val="20"/>
          <w:rtl/>
        </w:rPr>
        <w:t xml:space="preserve"> من حجم قيم السوق مجتمعة، والشريحة أعلى من </w:t>
      </w:r>
      <w:r>
        <w:rPr>
          <w:rFonts w:ascii="Arial" w:hAnsi="Arial" w:cs="Arial" w:eastAsia="Arial"/>
          <w:color w:val="0E1E3A"/>
          <w:sz w:val="20"/>
          <w:szCs w:val="20"/>
        </w:rPr>
        <w:t>‎70%‎</w:t>
      </w:r>
      <w:r>
        <w:rPr>
          <w:rFonts w:ascii="Arial" w:hAnsi="Arial" w:cs="Arial" w:eastAsia="Arial"/>
          <w:color w:val="0E1E3A"/>
          <w:sz w:val="20"/>
          <w:szCs w:val="20"/>
          <w:rtl/>
        </w:rPr>
        <w:t xml:space="preserve"> إلى أو ما يساوي </w:t>
      </w:r>
      <w:r>
        <w:rPr>
          <w:rFonts w:ascii="Arial" w:hAnsi="Arial" w:cs="Arial" w:eastAsia="Arial"/>
          <w:color w:val="0E1E3A"/>
          <w:sz w:val="20"/>
          <w:szCs w:val="20"/>
        </w:rPr>
        <w:t>‎85%‎</w:t>
      </w:r>
      <w:r>
        <w:rPr>
          <w:rFonts w:ascii="Arial" w:hAnsi="Arial" w:cs="Arial" w:eastAsia="Arial"/>
          <w:color w:val="0E1E3A"/>
          <w:sz w:val="20"/>
          <w:szCs w:val="20"/>
          <w:rtl/>
        </w:rPr>
        <w:t xml:space="preserve"> هي المتوسطة، والشريحة أعلى من </w:t>
      </w:r>
      <w:r>
        <w:rPr>
          <w:rFonts w:ascii="Arial" w:hAnsi="Arial" w:cs="Arial" w:eastAsia="Arial"/>
          <w:color w:val="0E1E3A"/>
          <w:sz w:val="20"/>
          <w:szCs w:val="20"/>
        </w:rPr>
        <w:t>‎85%‎</w:t>
      </w:r>
      <w:r>
        <w:rPr>
          <w:rFonts w:ascii="Arial" w:hAnsi="Arial" w:cs="Arial" w:eastAsia="Arial"/>
          <w:color w:val="0E1E3A"/>
          <w:sz w:val="20"/>
          <w:szCs w:val="20"/>
          <w:rtl/>
        </w:rPr>
        <w:t xml:space="preserve"> إلى أو ما يساوي </w:t>
      </w:r>
      <w:r>
        <w:rPr>
          <w:rFonts w:ascii="Arial" w:hAnsi="Arial" w:cs="Arial" w:eastAsia="Arial"/>
          <w:color w:val="0E1E3A"/>
          <w:sz w:val="20"/>
          <w:szCs w:val="20"/>
        </w:rPr>
        <w:t>‎100%‎</w:t>
      </w:r>
      <w:r>
        <w:rPr>
          <w:rFonts w:ascii="Arial" w:hAnsi="Arial" w:cs="Arial" w:eastAsia="Arial"/>
          <w:color w:val="0E1E3A"/>
          <w:sz w:val="20"/>
          <w:szCs w:val="20"/>
          <w:rtl/>
        </w:rPr>
        <w:t xml:space="preserve"> هي الصغيرة.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للنمو وللدخل"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مؤشر الخبير للأسهم العالمية</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 *</w:t>
            </w:r>
          </w:p>
        </w:tc>
        <w:tc>
          <w:tcPr>
            <w:tcW w:type="dxa" w:w="3326"/>
          </w:tcPr>
          <w:p>
            <w:pPr>
              <w:bidi w:val="1"/>
              <w:spacing w:before="0" w:after="0" w:line="264" w:lineRule="auto"/>
            </w:pPr>
            <w:r>
              <w:rPr>
                <w:rFonts w:ascii="Arial" w:hAnsi="Arial" w:cs="Arial" w:eastAsia="Arial"/>
                <w:color w:val="0E1E3A"/>
                <w:sz w:val="17"/>
                <w:szCs w:val="17"/>
                <w:rtl/>
              </w:rPr>
              <w:t>10.00 ر.س.</w:t>
            </w:r>
          </w:p>
        </w:tc>
        <w:tc>
          <w:tcPr>
            <w:tcW w:type="dxa" w:w="3326"/>
          </w:tcPr>
          <w:p>
            <w:pPr>
              <w:bidi w:val="1"/>
              <w:spacing w:before="0" w:after="0" w:line="264" w:lineRule="auto"/>
            </w:pPr>
            <w:r>
              <w:rPr>
                <w:rFonts w:ascii="Arial" w:hAnsi="Arial" w:cs="Arial" w:eastAsia="Arial"/>
                <w:color w:val="0E1E3A"/>
                <w:sz w:val="17"/>
                <w:szCs w:val="17"/>
                <w:rtl/>
              </w:rPr>
              <w:t>95.14684</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 **</w:t>
            </w:r>
          </w:p>
        </w:tc>
        <w:tc>
          <w:tcPr>
            <w:tcW w:type="dxa" w:w="3326"/>
          </w:tcPr>
          <w:p>
            <w:pPr>
              <w:bidi w:val="1"/>
              <w:spacing w:before="0" w:after="0" w:line="264" w:lineRule="auto"/>
            </w:pPr>
            <w:r>
              <w:rPr>
                <w:rFonts w:ascii="Arial" w:hAnsi="Arial" w:cs="Arial" w:eastAsia="Arial"/>
                <w:color w:val="0E1E3A"/>
                <w:sz w:val="17"/>
                <w:szCs w:val="17"/>
                <w:rtl/>
              </w:rPr>
              <w:t>9.3614 ر.س.</w:t>
            </w:r>
          </w:p>
        </w:tc>
        <w:tc>
          <w:tcPr>
            <w:tcW w:type="dxa" w:w="3326"/>
          </w:tcPr>
          <w:p>
            <w:pPr>
              <w:bidi w:val="1"/>
              <w:spacing w:before="0" w:after="0" w:line="264" w:lineRule="auto"/>
            </w:pPr>
            <w:r>
              <w:rPr>
                <w:rFonts w:ascii="Arial" w:hAnsi="Arial" w:cs="Arial" w:eastAsia="Arial"/>
                <w:color w:val="0E1E3A"/>
                <w:sz w:val="17"/>
                <w:szCs w:val="17"/>
                <w:rtl/>
              </w:rPr>
              <w:t>87.34397</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‎-6.39%‎</w:t>
            </w:r>
          </w:p>
        </w:tc>
        <w:tc>
          <w:tcPr>
            <w:tcW w:type="dxa" w:w="3326"/>
          </w:tcPr>
          <w:p>
            <w:pPr>
              <w:bidi w:val="1"/>
              <w:spacing w:before="0" w:after="0" w:line="264" w:lineRule="auto"/>
            </w:pPr>
            <w:r>
              <w:rPr>
                <w:rFonts w:ascii="Arial" w:hAnsi="Arial" w:cs="Arial" w:eastAsia="Arial"/>
                <w:color w:val="0E1E3A"/>
                <w:sz w:val="17"/>
                <w:szCs w:val="17"/>
              </w:rPr>
              <w:t>‎-8.20%‎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9"/>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r>
      <w:tr>
        <w:tc>
          <w:tcPr>
            <w:tcW w:type="dxa" w:w="4989"/>
          </w:tcPr>
          <w:p>
            <w:pPr>
              <w:bidi w:val="1"/>
              <w:spacing w:before="0" w:after="0" w:line="264" w:lineRule="auto"/>
            </w:pPr>
            <w:r>
              <w:rPr>
                <w:rFonts w:ascii="Arial" w:hAnsi="Arial" w:cs="Arial" w:eastAsia="Arial"/>
                <w:color w:val="0E1E3A"/>
                <w:sz w:val="17"/>
                <w:szCs w:val="17"/>
                <w:rtl/>
              </w:rPr>
              <w:t>العائد الكلي لصافي قيمة الوحدة</w:t>
            </w:r>
          </w:p>
        </w:tc>
        <w:tc>
          <w:tcPr>
            <w:tcW w:type="dxa" w:w="4989"/>
          </w:tcPr>
          <w:p>
            <w:pPr>
              <w:bidi w:val="1"/>
              <w:spacing w:before="0" w:after="0" w:line="264" w:lineRule="auto"/>
            </w:pPr>
            <w:r>
              <w:rPr>
                <w:rFonts w:ascii="Arial" w:hAnsi="Arial" w:cs="Arial" w:eastAsia="Arial"/>
                <w:color w:val="0E1E3A"/>
                <w:sz w:val="17"/>
                <w:szCs w:val="17"/>
              </w:rPr>
              <w:t>‎-6.39%‎</w:t>
            </w:r>
          </w:p>
        </w:tc>
      </w:tr>
      <w:tr>
        <w:tc>
          <w:tcPr>
            <w:tcW w:type="dxa" w:w="4989"/>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4989"/>
          </w:tcPr>
          <w:p>
            <w:pPr>
              <w:bidi w:val="1"/>
              <w:spacing w:before="0" w:after="0" w:line="264" w:lineRule="auto"/>
            </w:pPr>
            <w:r>
              <w:rPr>
                <w:rFonts w:ascii="Arial" w:hAnsi="Arial" w:cs="Arial" w:eastAsia="Arial"/>
                <w:color w:val="0E1E3A"/>
                <w:sz w:val="17"/>
                <w:szCs w:val="17"/>
              </w:rPr>
              <w:t>‎-8.20%‎</w:t>
            </w:r>
          </w:p>
        </w:tc>
      </w:tr>
      <w:tr>
        <w:tc>
          <w:tcPr>
            <w:tcW w:type="dxa" w:w="4989"/>
          </w:tcPr>
          <w:p>
            <w:pPr>
              <w:bidi w:val="1"/>
              <w:spacing w:before="0" w:after="0" w:line="264" w:lineRule="auto"/>
            </w:pPr>
            <w:r>
              <w:rPr>
                <w:rFonts w:ascii="Arial" w:hAnsi="Arial" w:cs="Arial" w:eastAsia="Arial"/>
                <w:color w:val="0E1E3A"/>
                <w:sz w:val="17"/>
                <w:szCs w:val="17"/>
                <w:rtl/>
              </w:rPr>
              <w:t>فارق الأداء</w:t>
            </w:r>
          </w:p>
        </w:tc>
        <w:tc>
          <w:tcPr>
            <w:tcW w:type="dxa" w:w="4989"/>
          </w:tcPr>
          <w:p>
            <w:pPr>
              <w:bidi w:val="1"/>
              <w:spacing w:before="0" w:after="0" w:line="264" w:lineRule="auto"/>
            </w:pPr>
            <w:r>
              <w:rPr>
                <w:rFonts w:ascii="Arial" w:hAnsi="Arial" w:cs="Arial" w:eastAsia="Arial"/>
                <w:color w:val="0E1E3A"/>
                <w:sz w:val="17"/>
                <w:szCs w:val="17"/>
              </w:rPr>
              <w:t>‎1.81%‎</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0"/>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r>
      <w:tr>
        <w:tc>
          <w:tcPr>
            <w:tcW w:type="dxa" w:w="4989"/>
          </w:tcPr>
          <w:p>
            <w:pPr>
              <w:bidi w:val="1"/>
              <w:spacing w:before="0" w:after="0" w:line="264" w:lineRule="auto"/>
            </w:pPr>
            <w:r>
              <w:rPr>
                <w:rFonts w:ascii="Arial" w:hAnsi="Arial" w:cs="Arial" w:eastAsia="Arial"/>
                <w:color w:val="0E1E3A"/>
                <w:sz w:val="17"/>
                <w:szCs w:val="17"/>
                <w:rtl/>
              </w:rPr>
              <w:t>الانحراف المعياري 1</w:t>
            </w:r>
          </w:p>
        </w:tc>
        <w:tc>
          <w:tcPr>
            <w:tcW w:type="dxa" w:w="4989"/>
          </w:tcPr>
          <w:p>
            <w:pPr>
              <w:bidi w:val="1"/>
              <w:spacing w:before="0" w:after="0" w:line="264" w:lineRule="auto"/>
            </w:pPr>
            <w:r>
              <w:rPr>
                <w:rFonts w:ascii="Arial" w:hAnsi="Arial" w:cs="Arial" w:eastAsia="Arial"/>
                <w:color w:val="0E1E3A"/>
                <w:sz w:val="17"/>
                <w:szCs w:val="17"/>
                <w:rtl/>
              </w:rPr>
              <w:t>17.28</w:t>
            </w:r>
          </w:p>
        </w:tc>
      </w:tr>
      <w:tr>
        <w:tc>
          <w:tcPr>
            <w:tcW w:type="dxa" w:w="4989"/>
          </w:tcPr>
          <w:p>
            <w:pPr>
              <w:bidi w:val="1"/>
              <w:spacing w:before="0" w:after="0" w:line="264" w:lineRule="auto"/>
            </w:pPr>
            <w:r>
              <w:rPr>
                <w:rFonts w:ascii="Arial" w:hAnsi="Arial" w:cs="Arial" w:eastAsia="Arial"/>
                <w:color w:val="0E1E3A"/>
                <w:sz w:val="17"/>
                <w:szCs w:val="17"/>
                <w:rtl/>
              </w:rPr>
              <w:t>مؤشر شارب 2</w:t>
            </w:r>
          </w:p>
        </w:tc>
        <w:tc>
          <w:tcPr>
            <w:tcW w:type="dxa" w:w="4989"/>
          </w:tcPr>
          <w:p>
            <w:pPr>
              <w:bidi w:val="1"/>
              <w:spacing w:before="0" w:after="0" w:line="264" w:lineRule="auto"/>
            </w:pPr>
            <w:r>
              <w:rPr>
                <w:rFonts w:ascii="Arial" w:hAnsi="Arial" w:cs="Arial" w:eastAsia="Arial"/>
                <w:color w:val="0E1E3A"/>
                <w:sz w:val="17"/>
                <w:szCs w:val="17"/>
                <w:rtl/>
              </w:rPr>
              <w:t>-1.91</w:t>
            </w:r>
          </w:p>
        </w:tc>
      </w:tr>
      <w:tr>
        <w:tc>
          <w:tcPr>
            <w:tcW w:type="dxa" w:w="4989"/>
          </w:tcPr>
          <w:p>
            <w:pPr>
              <w:bidi w:val="1"/>
              <w:spacing w:before="0" w:after="0" w:line="264" w:lineRule="auto"/>
            </w:pPr>
            <w:r>
              <w:rPr>
                <w:rFonts w:ascii="Arial" w:hAnsi="Arial" w:cs="Arial" w:eastAsia="Arial"/>
                <w:color w:val="0E1E3A"/>
                <w:sz w:val="17"/>
                <w:szCs w:val="17"/>
                <w:rtl/>
              </w:rPr>
              <w:t>خطأ التتبع 3</w:t>
            </w:r>
          </w:p>
        </w:tc>
        <w:tc>
          <w:tcPr>
            <w:tcW w:type="dxa" w:w="4989"/>
          </w:tcPr>
          <w:p>
            <w:pPr>
              <w:bidi w:val="1"/>
              <w:spacing w:before="0" w:after="0" w:line="264" w:lineRule="auto"/>
            </w:pPr>
            <w:r>
              <w:rPr>
                <w:rFonts w:ascii="Arial" w:hAnsi="Arial" w:cs="Arial" w:eastAsia="Arial"/>
                <w:color w:val="0E1E3A"/>
                <w:sz w:val="17"/>
                <w:szCs w:val="17"/>
                <w:rtl/>
              </w:rPr>
              <w:t>0.25</w:t>
            </w:r>
          </w:p>
        </w:tc>
      </w:tr>
      <w:tr>
        <w:tc>
          <w:tcPr>
            <w:tcW w:type="dxa" w:w="4989"/>
          </w:tcPr>
          <w:p>
            <w:pPr>
              <w:bidi w:val="1"/>
              <w:spacing w:before="0" w:after="0" w:line="264" w:lineRule="auto"/>
            </w:pPr>
            <w:r>
              <w:rPr>
                <w:rFonts w:ascii="Arial" w:hAnsi="Arial" w:cs="Arial" w:eastAsia="Arial"/>
                <w:color w:val="0E1E3A"/>
                <w:sz w:val="17"/>
                <w:szCs w:val="17"/>
                <w:rtl/>
              </w:rPr>
              <w:t>بيتا 4</w:t>
            </w:r>
          </w:p>
        </w:tc>
        <w:tc>
          <w:tcPr>
            <w:tcW w:type="dxa" w:w="4989"/>
          </w:tcPr>
          <w:p>
            <w:pPr>
              <w:bidi w:val="1"/>
              <w:spacing w:before="0" w:after="0" w:line="264" w:lineRule="auto"/>
            </w:pPr>
            <w:r>
              <w:rPr>
                <w:rFonts w:ascii="Arial" w:hAnsi="Arial" w:cs="Arial" w:eastAsia="Arial"/>
                <w:color w:val="0E1E3A"/>
                <w:sz w:val="17"/>
                <w:szCs w:val="17"/>
                <w:rtl/>
              </w:rPr>
              <w:t>0.45</w:t>
            </w:r>
          </w:p>
        </w:tc>
      </w:tr>
      <w:tr>
        <w:tc>
          <w:tcPr>
            <w:tcW w:type="dxa" w:w="4989"/>
          </w:tcPr>
          <w:p>
            <w:pPr>
              <w:bidi w:val="1"/>
              <w:spacing w:before="0" w:after="0" w:line="264" w:lineRule="auto"/>
            </w:pPr>
            <w:r>
              <w:rPr>
                <w:rFonts w:ascii="Arial" w:hAnsi="Arial" w:cs="Arial" w:eastAsia="Arial"/>
                <w:color w:val="0E1E3A"/>
                <w:sz w:val="17"/>
                <w:szCs w:val="17"/>
                <w:rtl/>
              </w:rPr>
              <w:t>ألفا 5</w:t>
            </w:r>
          </w:p>
        </w:tc>
        <w:tc>
          <w:tcPr>
            <w:tcW w:type="dxa" w:w="4989"/>
          </w:tcPr>
          <w:p>
            <w:pPr>
              <w:bidi w:val="1"/>
              <w:spacing w:before="0" w:after="0" w:line="264" w:lineRule="auto"/>
            </w:pPr>
            <w:r>
              <w:rPr>
                <w:rFonts w:ascii="Arial" w:hAnsi="Arial" w:cs="Arial" w:eastAsia="Arial"/>
                <w:color w:val="0E1E3A"/>
                <w:sz w:val="17"/>
                <w:szCs w:val="17"/>
                <w:rtl/>
              </w:rPr>
              <w:t>9.26</w:t>
            </w:r>
          </w:p>
        </w:tc>
      </w:tr>
      <w:tr>
        <w:tc>
          <w:tcPr>
            <w:tcW w:type="dxa" w:w="4989"/>
          </w:tcPr>
          <w:p>
            <w:pPr>
              <w:bidi w:val="1"/>
              <w:spacing w:before="0" w:after="0" w:line="264" w:lineRule="auto"/>
            </w:pPr>
            <w:r>
              <w:rPr>
                <w:rFonts w:ascii="Arial" w:hAnsi="Arial" w:cs="Arial" w:eastAsia="Arial"/>
                <w:color w:val="0E1E3A"/>
                <w:sz w:val="17"/>
                <w:szCs w:val="17"/>
                <w:rtl/>
              </w:rPr>
              <w:t>مؤشر المعلومات 6</w:t>
            </w:r>
          </w:p>
        </w:tc>
        <w:tc>
          <w:tcPr>
            <w:tcW w:type="dxa" w:w="4989"/>
          </w:tcPr>
          <w:p>
            <w:pPr>
              <w:bidi w:val="1"/>
              <w:spacing w:before="0" w:after="0" w:line="264" w:lineRule="auto"/>
            </w:pPr>
            <w:r>
              <w:rPr>
                <w:rFonts w:ascii="Arial" w:hAnsi="Arial" w:cs="Arial" w:eastAsia="Arial"/>
                <w:color w:val="0E1E3A"/>
                <w:sz w:val="17"/>
                <w:szCs w:val="17"/>
                <w:rtl/>
              </w:rPr>
              <w:t>0.37</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2.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أداءه حسب المخاطر أفضل.</w:t>
      </w:r>
      <w:r>
        <w:br/>
      </w:r>
      <w:r>
        <w:rPr>
          <w:rFonts w:ascii="Arial" w:hAnsi="Arial" w:cs="Arial" w:eastAsia="Arial"/>
          <w:color w:val="5A6478"/>
          <w:sz w:val="17"/>
          <w:szCs w:val="17"/>
          <w:rtl/>
        </w:rPr>
        <w:t>3.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4.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5. ألفا يقيس أي تفوق حققه أداء الصندوق مقارنة بأداء المؤشر المرتبط به.</w:t>
      </w:r>
      <w:r>
        <w:br/>
      </w:r>
      <w:r>
        <w:rPr>
          <w:rFonts w:ascii="Arial" w:hAnsi="Arial" w:cs="Arial" w:eastAsia="Arial"/>
          <w:color w:val="5A6478"/>
          <w:sz w:val="17"/>
          <w:szCs w:val="17"/>
          <w:rtl/>
        </w:rPr>
        <w:t>6.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صافي قيمة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1"/>
            <wp:cNvGraphicFramePr>
              <a:graphicFrameLocks noChangeAspect="1"/>
            </wp:cNvGraphicFramePr>
            <a:graphic>
              <a:graphicData uri="http://schemas.openxmlformats.org/drawingml/2006/picture">
                <pic:pic>
                  <pic:nvPicPr>
                    <pic:cNvPr id="0" name="ico_c788ceab6c6867ef93d8dd6b26beef99.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تم إدراج وتشغيل الصندوق في تاريخ 27 أبريل 2022م, ولا يوجد أي تغييرات أساسية أو جوهرية أو مهمة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الأسواق العالمية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شهدت الأسواق العالمية تباطؤًا في النمو الاقتصادي في العام 2022م نتيجة للأزمة الجيوسياسية العالمية الراهنة والانقطاع في سلاسل الإمداد والتموين وارتفاع معدلات التضخم. وقد أدى ذلك إلى انكماش في أسواق الأسهم في جميع أنحاء العالم، حيث سجلت المؤشرات الرئيسية، ومنها على سبيل المثال ستاندرد أند بورز 500، وناسداك 100، وستوكس أوروبا 600، ونيكاي 225، وفوتسي 100، تراجعًا في الربع الثاني 2022م.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منذ بداية عام 2022م تراجع مؤشر الأسواق العالمية الرئيسية بمعدل </w:t>
      </w:r>
      <w:r>
        <w:rPr>
          <w:rFonts w:ascii="Arial" w:hAnsi="Arial" w:cs="Arial" w:eastAsia="Arial"/>
          <w:color w:val="0E1E3A"/>
          <w:sz w:val="20"/>
          <w:szCs w:val="20"/>
        </w:rPr>
        <w:t>‎-21.21%‎</w:t>
      </w:r>
      <w:r>
        <w:rPr>
          <w:rFonts w:ascii="Arial" w:hAnsi="Arial" w:cs="Arial" w:eastAsia="Arial"/>
          <w:color w:val="0E1E3A"/>
          <w:sz w:val="20"/>
          <w:szCs w:val="20"/>
          <w:rtl/>
        </w:rPr>
        <w:t xml:space="preserve">، وتراجع مؤشر الأسواق العالمية الناشئة بمعدل </w:t>
      </w:r>
      <w:r>
        <w:rPr>
          <w:rFonts w:ascii="Arial" w:hAnsi="Arial" w:cs="Arial" w:eastAsia="Arial"/>
          <w:color w:val="0E1E3A"/>
          <w:sz w:val="20"/>
          <w:szCs w:val="20"/>
        </w:rPr>
        <w:t>‎-18.78%‎</w:t>
      </w:r>
      <w:r>
        <w:rPr>
          <w:rFonts w:ascii="Arial" w:hAnsi="Arial" w:cs="Arial" w:eastAsia="Arial"/>
          <w:color w:val="0E1E3A"/>
          <w:sz w:val="20"/>
          <w:szCs w:val="20"/>
          <w:rtl/>
        </w:rPr>
        <w:t xml:space="preserve"> ويعد أداء الأسواق أسوء أداء نصفي بعد الأزمة المالية في عام 2008م. في حين تراجع العائد الكلي لصافي قيمة الوحدة للصندوق بمعدل </w:t>
      </w:r>
      <w:r>
        <w:rPr>
          <w:rFonts w:ascii="Arial" w:hAnsi="Arial" w:cs="Arial" w:eastAsia="Arial"/>
          <w:color w:val="0E1E3A"/>
          <w:sz w:val="20"/>
          <w:szCs w:val="20"/>
        </w:rPr>
        <w:t>‎-6.39%‎</w:t>
      </w:r>
      <w:r>
        <w:rPr>
          <w:rFonts w:ascii="Arial" w:hAnsi="Arial" w:cs="Arial" w:eastAsia="Arial"/>
          <w:color w:val="0E1E3A"/>
          <w:sz w:val="20"/>
          <w:szCs w:val="20"/>
          <w:rtl/>
        </w:rPr>
        <w:t xml:space="preserve"> منذ إدراجه. كما أن الأسواق آخذةٌ في استيعاب التغيرات في السياسة النقدية مع وصول معدلات التضخم إلى ذروتها، وبالتالي تتجه الرؤية المستقبلية للأسواق العالمية نحو الاستقرار.</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لما أورده صندوق النقد الدولي، من المتوقع نمو الاقتصاد العالمي بمعدل </w:t>
      </w:r>
      <w:r>
        <w:rPr>
          <w:rFonts w:ascii="Arial" w:hAnsi="Arial" w:cs="Arial" w:eastAsia="Arial"/>
          <w:color w:val="0E1E3A"/>
          <w:sz w:val="20"/>
          <w:szCs w:val="20"/>
        </w:rPr>
        <w:t>‎3.6%‎</w:t>
      </w:r>
      <w:r>
        <w:rPr>
          <w:rFonts w:ascii="Arial" w:hAnsi="Arial" w:cs="Arial" w:eastAsia="Arial"/>
          <w:color w:val="0E1E3A"/>
          <w:sz w:val="20"/>
          <w:szCs w:val="20"/>
          <w:rtl/>
        </w:rPr>
        <w:t xml:space="preserve"> في العامين 2022م و2023م، مع تسجيل الاقتصادات الآسيوية والدول المصدّرة للسلع معدلات نمو أعلى من المتوسط، ومن الأمثلة على ذلك تحقيق المملكة العربية السعودية أعلى معدلات نمو لها منذ العام 2011م.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الوحدة للصندوق مقارنة مع المؤشر الإسترشادي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87027"/>
            <wp:docPr id="24" name="Picture 9054"/>
            <wp:cNvGraphicFramePr>
              <a:graphicFrameLocks noChangeAspect="1"/>
            </wp:cNvGraphicFramePr>
            <a:graphic>
              <a:graphicData uri="http://schemas.openxmlformats.org/drawingml/2006/picture">
                <pic:pic>
                  <pic:nvPicPr>
                    <pic:cNvPr id="0" name="x5.j.jpg"/>
                    <pic:cNvPicPr/>
                  </pic:nvPicPr>
                  <pic:blipFill>
                    <a:blip r:embed="rId23"/>
                    <a:stretch>
                      <a:fillRect/>
                    </a:stretch>
                  </pic:blipFill>
                  <pic:spPr>
                    <a:xfrm>
                      <a:off x="0" y="0"/>
                      <a:ext cx="6336000" cy="318702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56"/>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الثاني 2022م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