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1"/>
            <wp:cNvGraphicFramePr/>
            <a:graphic>
              <a:graphicData uri="http://schemas.openxmlformats.org/drawingml/2006/picture">
                <pic:pic>
                  <pic:nvPicPr>
                    <pic:cNvPr id="9031" name="banner903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investment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9.3614</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937,798,714</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PERCENTAGE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FEES FOR THE MANAGEMENT OF THE INVESTED FUNDS</w:t>
            </w:r>
          </w:p>
        </w:tc>
        <w:tc>
          <w:tcPr>
            <w:tcW w:type="dxa" w:w="6860"/>
          </w:tcPr>
          <w:p>
            <w:pPr>
              <w:spacing w:before="0" w:after="0" w:line="276" w:lineRule="auto"/>
            </w:pPr>
            <w:r>
              <w:rPr>
                <w:rFonts w:ascii="Arial" w:hAnsi="Arial" w:cs="Arial" w:eastAsia="Arial"/>
                <w:b/>
                <w:bCs/>
                <w:color w:val="0E1E3A"/>
                <w:sz w:val="18"/>
                <w:szCs w:val="18"/>
              </w:rPr>
              <w:t>-</w:t>
            </w:r>
          </w:p>
        </w:tc>
      </w:tr>
    </w:tbl>
    <w:p>
      <w:pPr>
        <w:spacing w:before="0" w:after="40" w:line="300" w:lineRule="auto"/>
      </w:pPr>
    </w:p>
    <w:p>
      <w:pPr>
        <w:spacing w:before="0" w:after="80" w:line="312" w:lineRule="auto"/>
      </w:pPr>
      <w:r>
        <w:rPr>
          <w:rFonts w:ascii="Arial" w:hAnsi="Arial" w:cs="Arial" w:eastAsia="Arial"/>
          <w:color w:val="5A6478"/>
          <w:sz w:val="17"/>
          <w:szCs w:val="17"/>
        </w:rPr>
        <w:t>* Size of the fund as of 30 June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chart shows the Fund's largest investments and sector allocation of investments.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937,798,714</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936,141,281</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w:t>
            </w:r>
          </w:p>
        </w:tc>
        <w:tc>
          <w:tcPr>
            <w:tcW w:type="dxa" w:w="6860"/>
          </w:tcPr>
          <w:p>
            <w:pPr>
              <w:spacing w:before="0" w:after="0" w:line="276" w:lineRule="auto"/>
            </w:pPr>
            <w:r>
              <w:rPr>
                <w:rFonts w:ascii="Arial" w:hAnsi="Arial" w:cs="Arial" w:eastAsia="Arial"/>
                <w:b/>
                <w:bCs/>
                <w:color w:val="0E1E3A"/>
                <w:sz w:val="18"/>
                <w:szCs w:val="18"/>
              </w:rPr>
              <w:t>SAR 1,716,017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0.18%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0.21%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0.21%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0.20%</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1,977,512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0.20%</w:t>
            </w:r>
          </w:p>
        </w:tc>
      </w:tr>
    </w:tbl>
    <w:p>
      <w:pPr>
        <w:spacing w:before="0" w:after="40" w:line="300" w:lineRule="auto"/>
      </w:pPr>
    </w:p>
    <w:p>
      <w:pPr>
        <w:spacing w:before="0" w:after="80" w:line="312" w:lineRule="auto"/>
      </w:pPr>
      <w:r>
        <w:rPr>
          <w:rFonts w:ascii="Arial" w:hAnsi="Arial" w:cs="Arial" w:eastAsia="Arial"/>
          <w:color w:val="5A6478"/>
          <w:sz w:val="17"/>
          <w:szCs w:val="17"/>
        </w:rPr>
        <w:t>* As at 30 June 2022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977,950,952.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820,243,326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117,555,388</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2" name="Picture 9042"/>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2022)</w:t>
            </w:r>
          </w:p>
        </w:tc>
        <w:tc>
          <w:tcPr>
            <w:tcW w:type="dxa" w:w="6860"/>
          </w:tcPr>
          <w:p>
            <w:pPr>
              <w:spacing w:before="0" w:after="0" w:line="276" w:lineRule="auto"/>
            </w:pPr>
            <w:r>
              <w:rPr>
                <w:rFonts w:ascii="Arial" w:hAnsi="Arial" w:cs="Arial" w:eastAsia="Arial"/>
                <w:b/>
                <w:bCs/>
                <w:color w:val="0E1E3A"/>
                <w:sz w:val="18"/>
                <w:szCs w:val="18"/>
              </w:rPr>
              <w:t>SAR 6.91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THE LISTING DATE TO 30 JUNE 2022)</w:t>
            </w:r>
          </w:p>
        </w:tc>
        <w:tc>
          <w:tcPr>
            <w:tcW w:type="dxa" w:w="6860"/>
          </w:tcPr>
          <w:p>
            <w:pPr>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2022)</w:t>
            </w:r>
          </w:p>
        </w:tc>
        <w:tc>
          <w:tcPr>
            <w:tcW w:type="dxa" w:w="6860"/>
          </w:tcPr>
          <w:p>
            <w:pPr>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10.90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6.90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100,000,000 Units</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has the right, according to what it decides appropriate, to distribute 100% of the net investment returns of the Fund, which includes only the distributions of the listed shares in which the fund invests, and to distribute up to 50% of the realized and unrealized net capital gains twice annually, within (40) business days from the date of issuance of semi-annual and annual financial statements. The distributions (if any) will be announced within (10) business days from the date of issuance of the semi-annual and annual financial statements, and the details of cash dividends will be announced through the Saudi Tadawul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FROM THE LISTED SHARES IN WHICH THE FUND INVESTS</w:t>
            </w:r>
          </w:p>
        </w:tc>
        <w:tc>
          <w:tcPr>
            <w:tcW w:type="dxa" w:w="6860"/>
          </w:tcPr>
          <w:p>
            <w:pPr>
              <w:spacing w:before="0" w:after="0" w:line="276" w:lineRule="auto"/>
            </w:pPr>
            <w:r>
              <w:rPr>
                <w:rFonts w:ascii="Arial" w:hAnsi="Arial" w:cs="Arial" w:eastAsia="Arial"/>
                <w:b/>
                <w:bCs/>
                <w:color w:val="0E1E3A"/>
                <w:sz w:val="18"/>
                <w:szCs w:val="18"/>
              </w:rPr>
              <w:t>SAR 804,909</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(LOSSES) FROM THE FUND'S INVESTMENTS</w:t>
            </w:r>
          </w:p>
        </w:tc>
        <w:tc>
          <w:tcPr>
            <w:tcW w:type="dxa" w:w="6860"/>
          </w:tcPr>
          <w:p>
            <w:pPr>
              <w:spacing w:before="0" w:after="0" w:line="276" w:lineRule="auto"/>
            </w:pPr>
            <w:r>
              <w:rPr>
                <w:rFonts w:ascii="Arial" w:hAnsi="Arial" w:cs="Arial" w:eastAsia="Arial"/>
                <w:b/>
                <w:bCs/>
                <w:color w:val="0E1E3A"/>
                <w:sz w:val="18"/>
                <w:szCs w:val="18"/>
              </w:rPr>
              <w:t>SAR (57,752,430)</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(LOSSES) FROM FOREIGN CURRENCY DIFFERENCES</w:t>
            </w:r>
          </w:p>
        </w:tc>
        <w:tc>
          <w:tcPr>
            <w:tcW w:type="dxa" w:w="6860"/>
          </w:tcPr>
          <w:p>
            <w:pPr>
              <w:spacing w:before="0" w:after="0" w:line="276" w:lineRule="auto"/>
            </w:pPr>
            <w:r>
              <w:rPr>
                <w:rFonts w:ascii="Arial" w:hAnsi="Arial" w:cs="Arial" w:eastAsia="Arial"/>
                <w:b/>
                <w:bCs/>
                <w:color w:val="0E1E3A"/>
                <w:sz w:val="18"/>
                <w:szCs w:val="18"/>
              </w:rPr>
              <w:t>SAR (4,933,686)</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(61,881,207)</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JUNE 2022</w:t>
            </w:r>
          </w:p>
        </w:tc>
        <w:tc>
          <w:tcPr>
            <w:tcW w:type="dxa" w:w="6860"/>
          </w:tcPr>
          <w:p>
            <w:pPr>
              <w:spacing w:before="0" w:after="0" w:line="276" w:lineRule="auto"/>
            </w:pPr>
            <w:r>
              <w:rPr>
                <w:rFonts w:ascii="Arial" w:hAnsi="Arial" w:cs="Arial" w:eastAsia="Arial"/>
                <w:b/>
                <w:bCs/>
                <w:color w:val="0E1E3A"/>
                <w:sz w:val="18"/>
                <w:szCs w:val="18"/>
              </w:rPr>
              <w:t>-8.96%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TO NET ASSET VALUE PER UNIT SINCE THE DATE OF INCEPTION</w:t>
            </w:r>
          </w:p>
        </w:tc>
        <w:tc>
          <w:tcPr>
            <w:tcW w:type="dxa" w:w="6860"/>
          </w:tcPr>
          <w:p>
            <w:pPr>
              <w:spacing w:before="0" w:after="0" w:line="276" w:lineRule="auto"/>
            </w:pPr>
            <w:r>
              <w:rPr>
                <w:rFonts w:ascii="Arial" w:hAnsi="Arial" w:cs="Arial" w:eastAsia="Arial"/>
                <w:b/>
                <w:bCs/>
                <w:color w:val="0E1E3A"/>
                <w:sz w:val="18"/>
                <w:szCs w:val="18"/>
              </w:rPr>
              <w:t>-6.39%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10.00</w:t>
            </w:r>
          </w:p>
        </w:tc>
        <w:tc>
          <w:tcPr>
            <w:tcW w:type="dxa" w:w="3326"/>
          </w:tcPr>
          <w:p>
            <w:pPr>
              <w:spacing w:before="0" w:after="0" w:line="264" w:lineRule="auto"/>
            </w:pPr>
            <w:r>
              <w:rPr>
                <w:rFonts w:ascii="Arial" w:hAnsi="Arial" w:cs="Arial" w:eastAsia="Arial"/>
                <w:color w:val="0E1E3A"/>
                <w:sz w:val="17"/>
                <w:szCs w:val="17"/>
              </w:rPr>
              <w:t>95.14684</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9.3614</w:t>
            </w:r>
          </w:p>
        </w:tc>
        <w:tc>
          <w:tcPr>
            <w:tcW w:type="dxa" w:w="3326"/>
          </w:tcPr>
          <w:p>
            <w:pPr>
              <w:spacing w:before="0" w:after="0" w:line="264" w:lineRule="auto"/>
            </w:pPr>
            <w:r>
              <w:rPr>
                <w:rFonts w:ascii="Arial" w:hAnsi="Arial" w:cs="Arial" w:eastAsia="Arial"/>
                <w:color w:val="0E1E3A"/>
                <w:sz w:val="17"/>
                <w:szCs w:val="17"/>
              </w:rPr>
              <w:t>87.34397</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-6.39%</w:t>
            </w:r>
          </w:p>
        </w:tc>
        <w:tc>
          <w:tcPr>
            <w:tcW w:type="dxa" w:w="3326"/>
          </w:tcPr>
          <w:p>
            <w:pPr>
              <w:spacing w:before="0" w:after="0" w:line="264" w:lineRule="auto"/>
            </w:pPr>
            <w:r>
              <w:rPr>
                <w:rFonts w:ascii="Arial" w:hAnsi="Arial" w:cs="Arial" w:eastAsia="Arial"/>
                <w:color w:val="0E1E3A"/>
                <w:sz w:val="17"/>
                <w:szCs w:val="17"/>
              </w:rPr>
              <w:t>-8.20%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FULL OWNERSHIP</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UNSUFRUCT RIGHT</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ITEM</w:t>
            </w:r>
          </w:p>
        </w:tc>
        <w:tc>
          <w:tcPr>
            <w:tcW w:type="dxa" w:w="4989"/>
            <w:shd w:val="clear" w:color="auto" w:fill="12284B"/>
          </w:tcPr>
          <w:p>
            <w:pPr>
              <w:spacing w:before="0" w:after="0" w:line="264" w:lineRule="auto"/>
            </w:pPr>
            <w:r>
              <w:rPr>
                <w:rFonts w:ascii="Arial" w:hAnsi="Arial" w:cs="Arial" w:eastAsia="Arial"/>
                <w:b/>
                <w:bCs/>
                <w:color w:val="FFFFFF"/>
                <w:sz w:val="17"/>
                <w:szCs w:val="17"/>
              </w:rPr>
              <w:t>REPORTING QUARTER</w:t>
            </w:r>
          </w:p>
        </w:tc>
      </w:tr>
      <w:tr>
        <w:tc>
          <w:tcPr>
            <w:tcW w:type="dxa" w:w="4989"/>
          </w:tcPr>
          <w:p>
            <w:pPr>
              <w:spacing w:before="0" w:after="0" w:line="264" w:lineRule="auto"/>
            </w:pPr>
            <w:r>
              <w:rPr>
                <w:rFonts w:ascii="Arial" w:hAnsi="Arial" w:cs="Arial" w:eastAsia="Arial"/>
                <w:color w:val="0E1E3A"/>
                <w:sz w:val="17"/>
                <w:szCs w:val="17"/>
              </w:rPr>
              <w:t>TOTAL RETURN TO NET ASSET VALUE PER UNIT</w:t>
            </w:r>
          </w:p>
        </w:tc>
        <w:tc>
          <w:tcPr>
            <w:tcW w:type="dxa" w:w="4989"/>
          </w:tcPr>
          <w:p>
            <w:pPr>
              <w:spacing w:before="0" w:after="0" w:line="264" w:lineRule="auto"/>
            </w:pPr>
            <w:r>
              <w:rPr>
                <w:rFonts w:ascii="Arial" w:hAnsi="Arial" w:cs="Arial" w:eastAsia="Arial"/>
                <w:color w:val="0E1E3A"/>
                <w:sz w:val="17"/>
                <w:szCs w:val="17"/>
              </w:rPr>
              <w:t>-6.39%</w:t>
            </w:r>
          </w:p>
        </w:tc>
      </w:tr>
      <w:tr>
        <w:tc>
          <w:tcPr>
            <w:tcW w:type="dxa" w:w="4989"/>
          </w:tcPr>
          <w:p>
            <w:pPr>
              <w:spacing w:before="0" w:after="0" w:line="264" w:lineRule="auto"/>
            </w:pPr>
            <w:r>
              <w:rPr>
                <w:rFonts w:ascii="Arial" w:hAnsi="Arial" w:cs="Arial" w:eastAsia="Arial"/>
                <w:color w:val="0E1E3A"/>
                <w:sz w:val="17"/>
                <w:szCs w:val="17"/>
              </w:rPr>
              <w:t>BENCHMARK PERFORMANCE</w:t>
            </w:r>
          </w:p>
        </w:tc>
        <w:tc>
          <w:tcPr>
            <w:tcW w:type="dxa" w:w="4989"/>
          </w:tcPr>
          <w:p>
            <w:pPr>
              <w:spacing w:before="0" w:after="0" w:line="264" w:lineRule="auto"/>
            </w:pPr>
            <w:r>
              <w:rPr>
                <w:rFonts w:ascii="Arial" w:hAnsi="Arial" w:cs="Arial" w:eastAsia="Arial"/>
                <w:color w:val="0E1E3A"/>
                <w:sz w:val="17"/>
                <w:szCs w:val="17"/>
              </w:rPr>
              <w:t>-8.20%</w:t>
            </w:r>
          </w:p>
        </w:tc>
      </w:tr>
      <w:tr>
        <w:tc>
          <w:tcPr>
            <w:tcW w:type="dxa" w:w="4989"/>
          </w:tcPr>
          <w:p>
            <w:pPr>
              <w:spacing w:before="0" w:after="0" w:line="264" w:lineRule="auto"/>
            </w:pPr>
            <w:r>
              <w:rPr>
                <w:rFonts w:ascii="Arial" w:hAnsi="Arial" w:cs="Arial" w:eastAsia="Arial"/>
                <w:color w:val="0E1E3A"/>
                <w:sz w:val="17"/>
                <w:szCs w:val="17"/>
              </w:rPr>
              <w:t>PERFORMANCE DIFFERENCE</w:t>
            </w:r>
          </w:p>
        </w:tc>
        <w:tc>
          <w:tcPr>
            <w:tcW w:type="dxa" w:w="4989"/>
          </w:tcPr>
          <w:p>
            <w:pPr>
              <w:spacing w:before="0" w:after="0" w:line="264" w:lineRule="auto"/>
            </w:pPr>
            <w:r>
              <w:rPr>
                <w:rFonts w:ascii="Arial" w:hAnsi="Arial" w:cs="Arial" w:eastAsia="Arial"/>
                <w:color w:val="0E1E3A"/>
                <w:sz w:val="17"/>
                <w:szCs w:val="17"/>
              </w:rPr>
              <w:t>1.81%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0"/>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4989"/>
            <w:shd w:val="clear" w:color="auto" w:fill="12284B"/>
          </w:tcPr>
          <w:p>
            <w:pPr>
              <w:spacing w:before="0" w:after="0" w:line="264" w:lineRule="auto"/>
            </w:pPr>
            <w:r>
              <w:rPr>
                <w:rFonts w:ascii="Arial" w:hAnsi="Arial" w:cs="Arial" w:eastAsia="Arial"/>
                <w:b/>
                <w:bCs/>
                <w:color w:val="FFFFFF"/>
                <w:sz w:val="17"/>
                <w:szCs w:val="17"/>
              </w:rPr>
              <w:t>REPORTING QUARTER</w:t>
            </w:r>
          </w:p>
        </w:tc>
      </w:tr>
      <w:tr>
        <w:tc>
          <w:tcPr>
            <w:tcW w:type="dxa" w:w="4989"/>
          </w:tcPr>
          <w:p>
            <w:pPr>
              <w:spacing w:before="0" w:after="0" w:line="264" w:lineRule="auto"/>
            </w:pPr>
            <w:r>
              <w:rPr>
                <w:rFonts w:ascii="Arial" w:hAnsi="Arial" w:cs="Arial" w:eastAsia="Arial"/>
                <w:color w:val="0E1E3A"/>
                <w:sz w:val="17"/>
                <w:szCs w:val="17"/>
              </w:rPr>
              <w:t>STANDARD DEVIATION1</w:t>
            </w:r>
          </w:p>
        </w:tc>
        <w:tc>
          <w:tcPr>
            <w:tcW w:type="dxa" w:w="4989"/>
          </w:tcPr>
          <w:p>
            <w:pPr>
              <w:spacing w:before="0" w:after="0" w:line="264" w:lineRule="auto"/>
            </w:pPr>
            <w:r>
              <w:rPr>
                <w:rFonts w:ascii="Arial" w:hAnsi="Arial" w:cs="Arial" w:eastAsia="Arial"/>
                <w:color w:val="0E1E3A"/>
                <w:sz w:val="17"/>
                <w:szCs w:val="17"/>
              </w:rPr>
              <w:t>17.28</w:t>
            </w:r>
          </w:p>
        </w:tc>
      </w:tr>
      <w:tr>
        <w:tc>
          <w:tcPr>
            <w:tcW w:type="dxa" w:w="4989"/>
          </w:tcPr>
          <w:p>
            <w:pPr>
              <w:spacing w:before="0" w:after="0" w:line="264" w:lineRule="auto"/>
            </w:pPr>
            <w:r>
              <w:rPr>
                <w:rFonts w:ascii="Arial" w:hAnsi="Arial" w:cs="Arial" w:eastAsia="Arial"/>
                <w:color w:val="0E1E3A"/>
                <w:sz w:val="17"/>
                <w:szCs w:val="17"/>
              </w:rPr>
              <w:t>SHARPE RATIO2</w:t>
            </w:r>
          </w:p>
        </w:tc>
        <w:tc>
          <w:tcPr>
            <w:tcW w:type="dxa" w:w="4989"/>
          </w:tcPr>
          <w:p>
            <w:pPr>
              <w:spacing w:before="0" w:after="0" w:line="264" w:lineRule="auto"/>
            </w:pPr>
            <w:r>
              <w:rPr>
                <w:rFonts w:ascii="Arial" w:hAnsi="Arial" w:cs="Arial" w:eastAsia="Arial"/>
                <w:color w:val="0E1E3A"/>
                <w:sz w:val="17"/>
                <w:szCs w:val="17"/>
              </w:rPr>
              <w:t>-1.91</w:t>
            </w:r>
          </w:p>
        </w:tc>
      </w:tr>
      <w:tr>
        <w:tc>
          <w:tcPr>
            <w:tcW w:type="dxa" w:w="4989"/>
          </w:tcPr>
          <w:p>
            <w:pPr>
              <w:spacing w:before="0" w:after="0" w:line="264" w:lineRule="auto"/>
            </w:pPr>
            <w:r>
              <w:rPr>
                <w:rFonts w:ascii="Arial" w:hAnsi="Arial" w:cs="Arial" w:eastAsia="Arial"/>
                <w:color w:val="0E1E3A"/>
                <w:sz w:val="17"/>
                <w:szCs w:val="17"/>
              </w:rPr>
              <w:t>TRACKING ERROR3</w:t>
            </w:r>
          </w:p>
        </w:tc>
        <w:tc>
          <w:tcPr>
            <w:tcW w:type="dxa" w:w="4989"/>
          </w:tcPr>
          <w:p>
            <w:pPr>
              <w:spacing w:before="0" w:after="0" w:line="264" w:lineRule="auto"/>
            </w:pPr>
            <w:r>
              <w:rPr>
                <w:rFonts w:ascii="Arial" w:hAnsi="Arial" w:cs="Arial" w:eastAsia="Arial"/>
                <w:color w:val="0E1E3A"/>
                <w:sz w:val="17"/>
                <w:szCs w:val="17"/>
              </w:rPr>
              <w:t>0.25</w:t>
            </w:r>
          </w:p>
        </w:tc>
      </w:tr>
      <w:tr>
        <w:tc>
          <w:tcPr>
            <w:tcW w:type="dxa" w:w="4989"/>
          </w:tcPr>
          <w:p>
            <w:pPr>
              <w:spacing w:before="0" w:after="0" w:line="264" w:lineRule="auto"/>
            </w:pPr>
            <w:r>
              <w:rPr>
                <w:rFonts w:ascii="Arial" w:hAnsi="Arial" w:cs="Arial" w:eastAsia="Arial"/>
                <w:color w:val="0E1E3A"/>
                <w:sz w:val="17"/>
                <w:szCs w:val="17"/>
              </w:rPr>
              <w:t>BETA4</w:t>
            </w:r>
          </w:p>
        </w:tc>
        <w:tc>
          <w:tcPr>
            <w:tcW w:type="dxa" w:w="4989"/>
          </w:tcPr>
          <w:p>
            <w:pPr>
              <w:spacing w:before="0" w:after="0" w:line="264" w:lineRule="auto"/>
            </w:pPr>
            <w:r>
              <w:rPr>
                <w:rFonts w:ascii="Arial" w:hAnsi="Arial" w:cs="Arial" w:eastAsia="Arial"/>
                <w:color w:val="0E1E3A"/>
                <w:sz w:val="17"/>
                <w:szCs w:val="17"/>
              </w:rPr>
              <w:t>0.45</w:t>
            </w:r>
          </w:p>
        </w:tc>
      </w:tr>
      <w:tr>
        <w:tc>
          <w:tcPr>
            <w:tcW w:type="dxa" w:w="4989"/>
          </w:tcPr>
          <w:p>
            <w:pPr>
              <w:spacing w:before="0" w:after="0" w:line="264" w:lineRule="auto"/>
            </w:pPr>
            <w:r>
              <w:rPr>
                <w:rFonts w:ascii="Arial" w:hAnsi="Arial" w:cs="Arial" w:eastAsia="Arial"/>
                <w:color w:val="0E1E3A"/>
                <w:sz w:val="17"/>
                <w:szCs w:val="17"/>
              </w:rPr>
              <w:t>ALPHA5</w:t>
            </w:r>
          </w:p>
        </w:tc>
        <w:tc>
          <w:tcPr>
            <w:tcW w:type="dxa" w:w="4989"/>
          </w:tcPr>
          <w:p>
            <w:pPr>
              <w:spacing w:before="0" w:after="0" w:line="264" w:lineRule="auto"/>
            </w:pPr>
            <w:r>
              <w:rPr>
                <w:rFonts w:ascii="Arial" w:hAnsi="Arial" w:cs="Arial" w:eastAsia="Arial"/>
                <w:color w:val="0E1E3A"/>
                <w:sz w:val="17"/>
                <w:szCs w:val="17"/>
              </w:rPr>
              <w:t>9.26</w:t>
            </w:r>
          </w:p>
        </w:tc>
      </w:tr>
      <w:tr>
        <w:tc>
          <w:tcPr>
            <w:tcW w:type="dxa" w:w="4989"/>
          </w:tcPr>
          <w:p>
            <w:pPr>
              <w:spacing w:before="0" w:after="0" w:line="264" w:lineRule="auto"/>
            </w:pPr>
            <w:r>
              <w:rPr>
                <w:rFonts w:ascii="Arial" w:hAnsi="Arial" w:cs="Arial" w:eastAsia="Arial"/>
                <w:color w:val="0E1E3A"/>
                <w:sz w:val="17"/>
                <w:szCs w:val="17"/>
              </w:rPr>
              <w:t>INFORMATION INDEX6</w:t>
            </w:r>
          </w:p>
        </w:tc>
        <w:tc>
          <w:tcPr>
            <w:tcW w:type="dxa" w:w="4989"/>
          </w:tcPr>
          <w:p>
            <w:pPr>
              <w:spacing w:before="0" w:after="0" w:line="264" w:lineRule="auto"/>
            </w:pPr>
            <w:r>
              <w:rPr>
                <w:rFonts w:ascii="Arial" w:hAnsi="Arial" w:cs="Arial" w:eastAsia="Arial"/>
                <w:color w:val="0E1E3A"/>
                <w:sz w:val="17"/>
                <w:szCs w:val="17"/>
              </w:rPr>
              <w:t>0.37</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net asset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ORNON-FUNDAMENTAL CHANGES AFFECTING THE PERFORMANCE OF THE FUND</w:t>
      </w:r>
    </w:p>
    <w:p>
      <w:pPr>
        <w:spacing w:before="0" w:after="80" w:line="312" w:lineRule="auto"/>
      </w:pPr>
      <w:r>
        <w:rPr>
          <w:rFonts w:ascii="Arial" w:hAnsi="Arial" w:cs="Arial" w:eastAsia="Arial"/>
          <w:color w:val="0E1E3A"/>
          <w:sz w:val="20"/>
          <w:szCs w:val="20"/>
        </w:rPr>
        <w:t>The Fund was listed and operated on 27 April 2022, and there are no fundamental, fundamental or important changes affecting the Fund's function.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markets in 2022 witnessed a slowdown economic growth driven by global geo-political crisis, supply chain disruptions and rising inflation. Consequently, equity markets across the world witnessed a contraction with major indices such as S&amp;P500, NASDAQ 100, STOXX Europe 600, Nikkei 225 and FTSE 100 registering declines in Q2 2022.</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major global markets index has declined by -21.21%, and the emerging global markets index has declined by -18.78%. Moreover, the market performance is considered the worst half-performance after the financial crisis in 2008, while the total return of the Fund's net unit value declined by -6.39% since its inclusion. Markets are accommodating changes in monetary policy with the peak of inflation rates, and thus the outlook for global markets is heading towards stability.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IMF, global economy is forecasted to grow by 3.6% in 2022 and 2023 with Asian economies and commodities exporting countries registering above average growth rates such as Saudi Arabia achieving its highest level growth rates since 2011.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ITS BEGINNING*</w:t>
      </w:r>
    </w:p>
    <w:p>
      <w:pPr>
        <w:spacing w:before="0" w:after="80" w:line="240" w:lineRule="auto"/>
        <w:jc w:val="center"/>
      </w:pPr>
      <w:r>
        <w:drawing>
          <wp:inline xmlns:a="http://schemas.openxmlformats.org/drawingml/2006/main" xmlns:pic="http://schemas.openxmlformats.org/drawingml/2006/picture">
            <wp:extent cx="6336000" cy="3072864"/>
            <wp:docPr id="24" name="Picture 9054"/>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 Prices as of 30 June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5"/>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Q2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