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3"/>
            <wp:cNvGraphicFramePr/>
            <a:graphic>
              <a:graphicData uri="http://schemas.openxmlformats.org/drawingml/2006/picture">
                <pic:pic>
                  <pic:nvPicPr>
                    <pic:cNvPr id="9033" name="banner903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11.0865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1,114,735,480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1 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1,114,735,480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1,108,651,857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22,709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 xml:space="preserve">أمريكا الش </w:t>
            </w:r>
            <w:r>
              <w:rPr>
                <w:rFonts w:ascii="Arial" w:hAnsi="Arial" w:cs="Arial" w:eastAsia="Arial"/>
                <w:b/>
                <w:bCs/>
                <w:color w:val="0E1E3A"/>
                <w:sz w:val="18"/>
                <w:szCs w:val="18"/>
              </w:rPr>
              <w:t>‎0.002%‎</w:t>
            </w:r>
            <w:r>
              <w:rPr>
                <w:rFonts w:ascii="Arial" w:hAnsi="Arial" w:cs="Arial" w:eastAsia="Arial"/>
                <w:b/>
                <w:bCs/>
                <w:color w:val="0E1E3A"/>
                <w:sz w:val="18"/>
                <w:szCs w:val="18"/>
                <w:rtl/>
              </w:rPr>
              <w:t xml:space="preserve"> 63.9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3,393,163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1,071,434,965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للشركات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4"/>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1,104,112,925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10,622,555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91892"/>
            <wp:docPr id="16" name="Picture 9048"/>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(22 يونيو 2023م)</w:t>
            </w:r>
          </w:p>
        </w:tc>
        <w:tc>
          <w:tcPr>
            <w:tcW w:type="dxa" w:w="6860"/>
          </w:tcPr>
          <w:p>
            <w:pPr>
              <w:bidi w:val="1"/>
              <w:spacing w:before="0" w:after="0" w:line="276" w:lineRule="auto"/>
            </w:pPr>
            <w:r>
              <w:rPr>
                <w:rFonts w:ascii="Arial" w:hAnsi="Arial" w:cs="Arial" w:eastAsia="Arial"/>
                <w:b/>
                <w:bCs/>
                <w:color w:val="0E1E3A"/>
                <w:sz w:val="18"/>
                <w:szCs w:val="18"/>
                <w:rtl/>
              </w:rPr>
              <w:t>8.11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30 مارس 2023م إلى 30 يونيو 2023م)</w:t>
            </w:r>
          </w:p>
        </w:tc>
        <w:tc>
          <w:tcPr>
            <w:tcW w:type="dxa" w:w="6860"/>
          </w:tcPr>
          <w:p>
            <w:pPr>
              <w:bidi w:val="1"/>
              <w:spacing w:before="0" w:after="0" w:line="276" w:lineRule="auto"/>
            </w:pPr>
            <w:r>
              <w:rPr>
                <w:rFonts w:ascii="Arial" w:hAnsi="Arial" w:cs="Arial" w:eastAsia="Arial"/>
                <w:b/>
                <w:bCs/>
                <w:color w:val="0E1E3A"/>
                <w:sz w:val="18"/>
                <w:szCs w:val="18"/>
              </w:rPr>
              <w:t>‎35.85%‎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2023م)</w:t>
            </w:r>
          </w:p>
        </w:tc>
        <w:tc>
          <w:tcPr>
            <w:tcW w:type="dxa" w:w="6860"/>
          </w:tcPr>
          <w:p>
            <w:pPr>
              <w:bidi w:val="1"/>
              <w:spacing w:before="0" w:after="0" w:line="276" w:lineRule="auto"/>
            </w:pPr>
            <w:r>
              <w:rPr>
                <w:rFonts w:ascii="Arial" w:hAnsi="Arial" w:cs="Arial" w:eastAsia="Arial"/>
                <w:b/>
                <w:bCs/>
                <w:color w:val="0E1E3A"/>
                <w:sz w:val="18"/>
                <w:szCs w:val="18"/>
              </w:rPr>
              <w:t>‎-18.9%‎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8.33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5.66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100,000,000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النصف 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حيث يقوم الصندوق بتوزيع الأرباح الرأسمالية (إن وجدت) المحققة وغير المحققة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الأولى</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5,144,258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1,439,730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69,960,042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4,129,074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77,793,645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30 يونيو 2023م</w:t>
            </w:r>
          </w:p>
        </w:tc>
        <w:tc>
          <w:tcPr>
            <w:tcW w:type="dxa" w:w="6860"/>
          </w:tcPr>
          <w:p>
            <w:pPr>
              <w:bidi w:val="1"/>
              <w:spacing w:before="0" w:after="0" w:line="276" w:lineRule="auto"/>
            </w:pPr>
            <w:r>
              <w:rPr>
                <w:rFonts w:ascii="Arial" w:hAnsi="Arial" w:cs="Arial" w:eastAsia="Arial"/>
                <w:b/>
                <w:bCs/>
                <w:color w:val="0E1E3A"/>
                <w:sz w:val="18"/>
                <w:szCs w:val="18"/>
              </w:rPr>
              <w:t>‎9.59%‎</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‎10.87%‎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w:t>
            </w:r>
          </w:p>
        </w:tc>
        <w:tc>
          <w:tcPr>
            <w:tcW w:type="dxa" w:w="6860"/>
          </w:tcPr>
          <w:p>
            <w:pPr>
              <w:bidi w:val="1"/>
              <w:spacing w:before="0" w:after="0" w:line="276" w:lineRule="auto"/>
            </w:pPr>
            <w:r>
              <w:rPr>
                <w:rFonts w:ascii="Arial" w:hAnsi="Arial" w:cs="Arial" w:eastAsia="Arial"/>
                <w:b/>
                <w:bCs/>
                <w:color w:val="0E1E3A"/>
                <w:sz w:val="18"/>
                <w:szCs w:val="18"/>
                <w:rtl/>
              </w:rPr>
              <w:t>24.34</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10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10.3422 ر.س.</w:t>
            </w:r>
          </w:p>
        </w:tc>
        <w:tc>
          <w:tcPr>
            <w:tcW w:type="dxa" w:w="3326"/>
          </w:tcPr>
          <w:p>
            <w:pPr>
              <w:bidi w:val="1"/>
              <w:spacing w:before="0" w:after="0" w:line="264" w:lineRule="auto"/>
            </w:pPr>
            <w:r>
              <w:rPr>
                <w:rFonts w:ascii="Arial" w:hAnsi="Arial" w:cs="Arial" w:eastAsia="Arial"/>
                <w:color w:val="0E1E3A"/>
                <w:sz w:val="17"/>
                <w:szCs w:val="17"/>
                <w:rtl/>
              </w:rPr>
              <w:t>96.4165</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11.0865 ر.س.</w:t>
            </w:r>
          </w:p>
        </w:tc>
        <w:tc>
          <w:tcPr>
            <w:tcW w:type="dxa" w:w="3326"/>
          </w:tcPr>
          <w:p>
            <w:pPr>
              <w:bidi w:val="1"/>
              <w:spacing w:before="0" w:after="0" w:line="264" w:lineRule="auto"/>
            </w:pPr>
            <w:r>
              <w:rPr>
                <w:rFonts w:ascii="Arial" w:hAnsi="Arial" w:cs="Arial" w:eastAsia="Arial"/>
                <w:color w:val="0E1E3A"/>
                <w:sz w:val="17"/>
                <w:szCs w:val="17"/>
                <w:rtl/>
              </w:rPr>
              <w:t>103.35161</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‎7.20%‎</w:t>
            </w:r>
          </w:p>
        </w:tc>
        <w:tc>
          <w:tcPr>
            <w:tcW w:type="dxa" w:w="3326"/>
          </w:tcPr>
          <w:p>
            <w:pPr>
              <w:bidi w:val="1"/>
              <w:spacing w:before="0" w:after="0" w:line="264" w:lineRule="auto"/>
            </w:pPr>
            <w:r>
              <w:rPr>
                <w:rFonts w:ascii="Arial" w:hAnsi="Arial" w:cs="Arial" w:eastAsia="Arial"/>
                <w:color w:val="0E1E3A"/>
                <w:sz w:val="17"/>
                <w:szCs w:val="17"/>
              </w:rPr>
              <w:t>‎7.19%‎</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‎7.20%‎</w:t>
            </w:r>
          </w:p>
        </w:tc>
        <w:tc>
          <w:tcPr>
            <w:tcW w:type="dxa" w:w="1663"/>
          </w:tcPr>
          <w:p>
            <w:pPr>
              <w:bidi w:val="1"/>
              <w:spacing w:before="0" w:after="0" w:line="264" w:lineRule="auto"/>
            </w:pPr>
            <w:r>
              <w:rPr>
                <w:rFonts w:ascii="Arial" w:hAnsi="Arial" w:cs="Arial" w:eastAsia="Arial"/>
                <w:color w:val="0E1E3A"/>
                <w:sz w:val="17"/>
                <w:szCs w:val="17"/>
              </w:rPr>
              <w:t>‎17.43%‎</w:t>
            </w:r>
          </w:p>
        </w:tc>
        <w:tc>
          <w:tcPr>
            <w:tcW w:type="dxa" w:w="1663"/>
          </w:tcPr>
          <w:p>
            <w:pPr>
              <w:bidi w:val="1"/>
              <w:spacing w:before="0" w:after="0" w:line="264" w:lineRule="auto"/>
            </w:pPr>
            <w:r>
              <w:rPr>
                <w:rFonts w:ascii="Arial" w:hAnsi="Arial" w:cs="Arial" w:eastAsia="Arial"/>
                <w:color w:val="0E1E3A"/>
                <w:sz w:val="17"/>
                <w:szCs w:val="17"/>
              </w:rPr>
              <w:t>‎18.43%‎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‎7.19%‎</w:t>
            </w:r>
          </w:p>
        </w:tc>
        <w:tc>
          <w:tcPr>
            <w:tcW w:type="dxa" w:w="1663"/>
          </w:tcPr>
          <w:p>
            <w:pPr>
              <w:bidi w:val="1"/>
              <w:spacing w:before="0" w:after="0" w:line="264" w:lineRule="auto"/>
            </w:pPr>
            <w:r>
              <w:rPr>
                <w:rFonts w:ascii="Arial" w:hAnsi="Arial" w:cs="Arial" w:eastAsia="Arial"/>
                <w:color w:val="0E1E3A"/>
                <w:sz w:val="17"/>
                <w:szCs w:val="17"/>
              </w:rPr>
              <w:t>‎16.44%‎</w:t>
            </w:r>
          </w:p>
        </w:tc>
        <w:tc>
          <w:tcPr>
            <w:tcW w:type="dxa" w:w="1663"/>
          </w:tcPr>
          <w:p>
            <w:pPr>
              <w:bidi w:val="1"/>
              <w:spacing w:before="0" w:after="0" w:line="264" w:lineRule="auto"/>
            </w:pPr>
            <w:r>
              <w:rPr>
                <w:rFonts w:ascii="Arial" w:hAnsi="Arial" w:cs="Arial" w:eastAsia="Arial"/>
                <w:color w:val="0E1E3A"/>
                <w:sz w:val="17"/>
                <w:szCs w:val="17"/>
              </w:rPr>
              <w:t>‎18.33%‎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‎0.01%‎</w:t>
            </w:r>
          </w:p>
        </w:tc>
        <w:tc>
          <w:tcPr>
            <w:tcW w:type="dxa" w:w="1663"/>
          </w:tcPr>
          <w:p>
            <w:pPr>
              <w:bidi w:val="1"/>
              <w:spacing w:before="0" w:after="0" w:line="264" w:lineRule="auto"/>
            </w:pPr>
            <w:r>
              <w:rPr>
                <w:rFonts w:ascii="Arial" w:hAnsi="Arial" w:cs="Arial" w:eastAsia="Arial"/>
                <w:color w:val="0E1E3A"/>
                <w:sz w:val="17"/>
                <w:szCs w:val="17"/>
              </w:rPr>
              <w:t>‎0.99%‎</w:t>
            </w:r>
          </w:p>
        </w:tc>
        <w:tc>
          <w:tcPr>
            <w:tcW w:type="dxa" w:w="1663"/>
          </w:tcPr>
          <w:p>
            <w:pPr>
              <w:bidi w:val="1"/>
              <w:spacing w:before="0" w:after="0" w:line="264" w:lineRule="auto"/>
            </w:pPr>
            <w:r>
              <w:rPr>
                <w:rFonts w:ascii="Arial" w:hAnsi="Arial" w:cs="Arial" w:eastAsia="Arial"/>
                <w:color w:val="0E1E3A"/>
                <w:sz w:val="17"/>
                <w:szCs w:val="17"/>
              </w:rPr>
              <w:t>‎0.10%‎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4.47</w:t>
            </w:r>
          </w:p>
        </w:tc>
        <w:tc>
          <w:tcPr>
            <w:tcW w:type="dxa" w:w="1663"/>
          </w:tcPr>
          <w:p>
            <w:pPr>
              <w:bidi w:val="1"/>
              <w:spacing w:before="0" w:after="0" w:line="264" w:lineRule="auto"/>
            </w:pPr>
            <w:r>
              <w:rPr>
                <w:rFonts w:ascii="Arial" w:hAnsi="Arial" w:cs="Arial" w:eastAsia="Arial"/>
                <w:color w:val="0E1E3A"/>
                <w:sz w:val="17"/>
                <w:szCs w:val="17"/>
                <w:rtl/>
              </w:rPr>
              <w:t>7.73</w:t>
            </w:r>
          </w:p>
        </w:tc>
        <w:tc>
          <w:tcPr>
            <w:tcW w:type="dxa" w:w="1663"/>
          </w:tcPr>
          <w:p>
            <w:pPr>
              <w:bidi w:val="1"/>
              <w:spacing w:before="0" w:after="0" w:line="264" w:lineRule="auto"/>
            </w:pPr>
            <w:r>
              <w:rPr>
                <w:rFonts w:ascii="Arial" w:hAnsi="Arial" w:cs="Arial" w:eastAsia="Arial"/>
                <w:color w:val="0E1E3A"/>
                <w:sz w:val="17"/>
                <w:szCs w:val="17"/>
                <w:rtl/>
              </w:rPr>
              <w:t>15.36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0.33</w:t>
            </w:r>
          </w:p>
        </w:tc>
        <w:tc>
          <w:tcPr>
            <w:tcW w:type="dxa" w:w="1663"/>
          </w:tcPr>
          <w:p>
            <w:pPr>
              <w:bidi w:val="1"/>
              <w:spacing w:before="0" w:after="0" w:line="264" w:lineRule="auto"/>
            </w:pPr>
            <w:r>
              <w:rPr>
                <w:rFonts w:ascii="Arial" w:hAnsi="Arial" w:cs="Arial" w:eastAsia="Arial"/>
                <w:color w:val="0E1E3A"/>
                <w:sz w:val="17"/>
                <w:szCs w:val="17"/>
                <w:rtl/>
              </w:rPr>
              <w:t>1.55</w:t>
            </w:r>
          </w:p>
        </w:tc>
        <w:tc>
          <w:tcPr>
            <w:tcW w:type="dxa" w:w="1663"/>
          </w:tcPr>
          <w:p>
            <w:pPr>
              <w:bidi w:val="1"/>
              <w:spacing w:before="0" w:after="0" w:line="264" w:lineRule="auto"/>
            </w:pPr>
            <w:r>
              <w:rPr>
                <w:rFonts w:ascii="Arial" w:hAnsi="Arial" w:cs="Arial" w:eastAsia="Arial"/>
                <w:color w:val="0E1E3A"/>
                <w:sz w:val="17"/>
                <w:szCs w:val="17"/>
                <w:rtl/>
              </w:rPr>
              <w:t>1.04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4.03</w:t>
            </w:r>
          </w:p>
        </w:tc>
        <w:tc>
          <w:tcPr>
            <w:tcW w:type="dxa" w:w="1663"/>
          </w:tcPr>
          <w:p>
            <w:pPr>
              <w:bidi w:val="1"/>
              <w:spacing w:before="0" w:after="0" w:line="264" w:lineRule="auto"/>
            </w:pPr>
            <w:r>
              <w:rPr>
                <w:rFonts w:ascii="Arial" w:hAnsi="Arial" w:cs="Arial" w:eastAsia="Arial"/>
                <w:color w:val="0E1E3A"/>
                <w:sz w:val="17"/>
                <w:szCs w:val="17"/>
                <w:rtl/>
              </w:rPr>
              <w:t>6.39</w:t>
            </w:r>
          </w:p>
        </w:tc>
        <w:tc>
          <w:tcPr>
            <w:tcW w:type="dxa" w:w="1663"/>
          </w:tcPr>
          <w:p>
            <w:pPr>
              <w:bidi w:val="1"/>
              <w:spacing w:before="0" w:after="0" w:line="264" w:lineRule="auto"/>
            </w:pPr>
            <w:r>
              <w:rPr>
                <w:rFonts w:ascii="Arial" w:hAnsi="Arial" w:cs="Arial" w:eastAsia="Arial"/>
                <w:color w:val="0E1E3A"/>
                <w:sz w:val="17"/>
                <w:szCs w:val="17"/>
                <w:rtl/>
              </w:rPr>
              <w:t>12.38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0.57</w:t>
            </w:r>
          </w:p>
        </w:tc>
        <w:tc>
          <w:tcPr>
            <w:tcW w:type="dxa" w:w="1663"/>
          </w:tcPr>
          <w:p>
            <w:pPr>
              <w:bidi w:val="1"/>
              <w:spacing w:before="0" w:after="0" w:line="264" w:lineRule="auto"/>
            </w:pPr>
            <w:r>
              <w:rPr>
                <w:rFonts w:ascii="Arial" w:hAnsi="Arial" w:cs="Arial" w:eastAsia="Arial"/>
                <w:color w:val="0E1E3A"/>
                <w:sz w:val="17"/>
                <w:szCs w:val="17"/>
                <w:rtl/>
              </w:rPr>
              <w:t>0.63</w:t>
            </w:r>
          </w:p>
        </w:tc>
        <w:tc>
          <w:tcPr>
            <w:tcW w:type="dxa" w:w="1663"/>
          </w:tcPr>
          <w:p>
            <w:pPr>
              <w:bidi w:val="1"/>
              <w:spacing w:before="0" w:after="0" w:line="264" w:lineRule="auto"/>
            </w:pPr>
            <w:r>
              <w:rPr>
                <w:rFonts w:ascii="Arial" w:hAnsi="Arial" w:cs="Arial" w:eastAsia="Arial"/>
                <w:color w:val="0E1E3A"/>
                <w:sz w:val="17"/>
                <w:szCs w:val="17"/>
                <w:rtl/>
              </w:rPr>
              <w:t>0.65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tl/>
              </w:rPr>
              <w:t>-0.07</w:t>
            </w:r>
          </w:p>
        </w:tc>
        <w:tc>
          <w:tcPr>
            <w:tcW w:type="dxa" w:w="1663"/>
          </w:tcPr>
          <w:p>
            <w:pPr>
              <w:bidi w:val="1"/>
              <w:spacing w:before="0" w:after="0" w:line="264" w:lineRule="auto"/>
            </w:pPr>
            <w:r>
              <w:rPr>
                <w:rFonts w:ascii="Arial" w:hAnsi="Arial" w:cs="Arial" w:eastAsia="Arial"/>
                <w:color w:val="0E1E3A"/>
                <w:sz w:val="17"/>
                <w:szCs w:val="17"/>
                <w:rtl/>
              </w:rPr>
              <w:t>0.78</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0.12</w:t>
            </w:r>
          </w:p>
        </w:tc>
        <w:tc>
          <w:tcPr>
            <w:tcW w:type="dxa" w:w="1663"/>
          </w:tcPr>
          <w:p>
            <w:pPr>
              <w:bidi w:val="1"/>
              <w:spacing w:before="0" w:after="0" w:line="264" w:lineRule="auto"/>
            </w:pPr>
            <w:r>
              <w:rPr>
                <w:rFonts w:ascii="Arial" w:hAnsi="Arial" w:cs="Arial" w:eastAsia="Arial"/>
                <w:color w:val="0E1E3A"/>
                <w:sz w:val="17"/>
                <w:szCs w:val="17"/>
                <w:rtl/>
              </w:rPr>
              <w:t>-0.01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7"/>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في 11 يونيو 2023م، وافق مجلس إدارة الصندوق على توصية مدير الصندوق بإعادة شراء وحداته بغرض إلغاء ما يصل إلى </w:t>
      </w:r>
      <w:r>
        <w:rPr>
          <w:rFonts w:ascii="Arial" w:hAnsi="Arial" w:cs="Arial" w:eastAsia="Arial"/>
          <w:color w:val="0E1E3A"/>
          <w:sz w:val="20"/>
          <w:szCs w:val="20"/>
        </w:rPr>
        <w:t>‎50%‎</w:t>
      </w:r>
      <w:r>
        <w:rPr>
          <w:rFonts w:ascii="Arial" w:hAnsi="Arial" w:cs="Arial" w:eastAsia="Arial"/>
          <w:color w:val="0E1E3A"/>
          <w:sz w:val="20"/>
          <w:szCs w:val="20"/>
          <w:rtl/>
        </w:rPr>
        <w:t xml:space="preserve"> من إجمالي عدد الوحدات القائمة، بسعر لا يتجاوز صافي قيمة أصول الصندوق. وسيصادق مالكو الوحدات على هذا القرار في اجتماع الجمعية العمومية المقرر عقده في 19 يوليو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خلال الربع الثاني من عام 2023م، شهدت أسواق الأسهم العالمية (الأسواق المتقدمة على وجه الخصوص) زخمًا إيجابيًا بناء على الزخم المكتسب خلال الربع الأخير. ويرجع ذلك أساسًا إلى انحسار المخاوف من حدوث ركود في الولايات المتحدة، وتوقف مؤقت في رفع أسعار الفائدة من قبل الفيدرالي الأمريكي وانخفاض أسعار النفط.</w:t>
      </w:r>
    </w:p>
    <w:p>
      <w:pPr>
        <w:bidi w:val="1"/>
        <w:spacing w:before="0" w:after="80" w:line="312" w:lineRule="auto"/>
      </w:pPr>
      <w:r>
        <w:rPr>
          <w:rFonts w:ascii="Arial" w:hAnsi="Arial" w:cs="Arial" w:eastAsia="Arial"/>
          <w:color w:val="0E1E3A"/>
          <w:sz w:val="20"/>
          <w:szCs w:val="20"/>
          <w:rtl/>
        </w:rPr>
        <w:t xml:space="preserve">أوقف الفيدرالي الأمريكي رفع أسعار الفائدة مؤقتا في الوقت الحالي وتتوقع الأسواق خفض أسعار الفائدة في وقت مبكر من النصف الأول من عام 2024م. ومع التخفيضات الكبيرة في أسعار الفائدة ، سيبدأ نمو الناتج المحلي الإجمالي مرة أخرى في التسارع اعتبارًا من عام 2025م، وسيؤدي حل قيود العرض التي تؤثر على معظم القطاعات إلى نمو الاقتصاد وأسواق الأسهم. ومن المتوقع أن ينمو الناتج المحلي الإجمالي الحقيقي العالمي بنسبة </w:t>
      </w:r>
      <w:r>
        <w:rPr>
          <w:rFonts w:ascii="Arial" w:hAnsi="Arial" w:cs="Arial" w:eastAsia="Arial"/>
          <w:color w:val="0E1E3A"/>
          <w:sz w:val="20"/>
          <w:szCs w:val="20"/>
        </w:rPr>
        <w:t>‎2.5%‎</w:t>
      </w:r>
      <w:r>
        <w:rPr>
          <w:rFonts w:ascii="Arial" w:hAnsi="Arial" w:cs="Arial" w:eastAsia="Arial"/>
          <w:color w:val="0E1E3A"/>
          <w:sz w:val="20"/>
          <w:szCs w:val="20"/>
          <w:rtl/>
        </w:rPr>
        <w:t xml:space="preserve"> في عام 2023م و </w:t>
      </w:r>
      <w:r>
        <w:rPr>
          <w:rFonts w:ascii="Arial" w:hAnsi="Arial" w:cs="Arial" w:eastAsia="Arial"/>
          <w:color w:val="0E1E3A"/>
          <w:sz w:val="20"/>
          <w:szCs w:val="20"/>
        </w:rPr>
        <w:t>‎3%‎</w:t>
      </w:r>
      <w:r>
        <w:rPr>
          <w:rFonts w:ascii="Arial" w:hAnsi="Arial" w:cs="Arial" w:eastAsia="Arial"/>
          <w:color w:val="0E1E3A"/>
          <w:sz w:val="20"/>
          <w:szCs w:val="20"/>
          <w:rtl/>
        </w:rPr>
        <w:t xml:space="preserve"> في عام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الإسترشادي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0"/>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2"/>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الثاني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