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3"/>
            <wp:cNvGraphicFramePr/>
            <a:graphic>
              <a:graphicData uri="http://schemas.openxmlformats.org/drawingml/2006/picture">
                <pic:pic>
                  <pic:nvPicPr>
                    <pic:cNvPr id="9033" name="banner903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11.0865</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1,114,735,480</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0.05%</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91 Days</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2023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7"/>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1,114,735,480</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1,108,651,857</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22,709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3,393,163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0.32%</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2023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1,071,434,965.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40"/>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2"/>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2654270"/>
            <wp:docPr id="12" name="Picture 9044"/>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1,104,112,925</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10,622,555</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22 JUNE 2023</w:t>
            </w:r>
          </w:p>
        </w:tc>
        <w:tc>
          <w:tcPr>
            <w:tcW w:type="dxa" w:w="6860"/>
          </w:tcPr>
          <w:p>
            <w:pPr>
              <w:spacing w:before="0" w:after="0" w:line="276" w:lineRule="auto"/>
            </w:pPr>
            <w:r>
              <w:rPr>
                <w:rFonts w:ascii="Arial" w:hAnsi="Arial" w:cs="Arial" w:eastAsia="Arial"/>
                <w:b/>
                <w:bCs/>
                <w:color w:val="0E1E3A"/>
                <w:sz w:val="18"/>
                <w:szCs w:val="18"/>
              </w:rPr>
              <w:t>SAR 811,000,000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6" name="Picture 9048"/>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77730"/>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(22 JUNE 2023)</w:t>
            </w:r>
          </w:p>
        </w:tc>
        <w:tc>
          <w:tcPr>
            <w:tcW w:type="dxa" w:w="6860"/>
          </w:tcPr>
          <w:p>
            <w:pPr>
              <w:spacing w:before="0" w:after="0" w:line="276" w:lineRule="auto"/>
            </w:pPr>
            <w:r>
              <w:rPr>
                <w:rFonts w:ascii="Arial" w:hAnsi="Arial" w:cs="Arial" w:eastAsia="Arial"/>
                <w:b/>
                <w:bCs/>
                <w:color w:val="0E1E3A"/>
                <w:sz w:val="18"/>
                <w:szCs w:val="18"/>
              </w:rPr>
              <w:t>SAR 8.11</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(30 MARCH 2023 TO 30 JUNE 2023)</w:t>
            </w:r>
          </w:p>
        </w:tc>
        <w:tc>
          <w:tcPr>
            <w:tcW w:type="dxa" w:w="6860"/>
          </w:tcPr>
          <w:p>
            <w:pPr>
              <w:spacing w:before="0" w:after="0" w:line="276" w:lineRule="auto"/>
            </w:pPr>
            <w:r>
              <w:rPr>
                <w:rFonts w:ascii="Arial" w:hAnsi="Arial" w:cs="Arial" w:eastAsia="Arial"/>
                <w:b/>
                <w:bCs/>
                <w:color w:val="0E1E3A"/>
                <w:sz w:val="18"/>
                <w:szCs w:val="18"/>
              </w:rPr>
              <w:t>35.85%</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2023)</w:t>
            </w:r>
          </w:p>
        </w:tc>
        <w:tc>
          <w:tcPr>
            <w:tcW w:type="dxa" w:w="6860"/>
          </w:tcPr>
          <w:p>
            <w:pPr>
              <w:spacing w:before="0" w:after="0" w:line="276" w:lineRule="auto"/>
            </w:pPr>
            <w:r>
              <w:rPr>
                <w:rFonts w:ascii="Arial" w:hAnsi="Arial" w:cs="Arial" w:eastAsia="Arial"/>
                <w:b/>
                <w:bCs/>
                <w:color w:val="0E1E3A"/>
                <w:sz w:val="18"/>
                <w:szCs w:val="18"/>
              </w:rPr>
              <w:t>-18.9%</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8.33</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5.66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w:t>
            </w:r>
          </w:p>
        </w:tc>
        <w:tc>
          <w:tcPr>
            <w:tcW w:type="dxa" w:w="6860"/>
          </w:tcPr>
          <w:p>
            <w:pPr>
              <w:spacing w:before="0" w:after="0" w:line="276" w:lineRule="auto"/>
            </w:pPr>
            <w:r>
              <w:rPr>
                <w:rFonts w:ascii="Arial" w:hAnsi="Arial" w:cs="Arial" w:eastAsia="Arial"/>
                <w:b/>
                <w:bCs/>
                <w:color w:val="0E1E3A"/>
                <w:sz w:val="18"/>
                <w:szCs w:val="18"/>
              </w:rPr>
              <w:t>100,000,000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0"/>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5,144,258</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LOSS ON THE FUND'S INVESTMENTS</w:t>
            </w:r>
          </w:p>
        </w:tc>
        <w:tc>
          <w:tcPr>
            <w:tcW w:type="dxa" w:w="6860"/>
          </w:tcPr>
          <w:p>
            <w:pPr>
              <w:spacing w:before="0" w:after="0" w:line="276" w:lineRule="auto"/>
            </w:pPr>
            <w:r>
              <w:rPr>
                <w:rFonts w:ascii="Arial" w:hAnsi="Arial" w:cs="Arial" w:eastAsia="Arial"/>
                <w:b/>
                <w:bCs/>
                <w:color w:val="0E1E3A"/>
                <w:sz w:val="18"/>
                <w:szCs w:val="18"/>
              </w:rPr>
              <w:t>SAR 1,439,730</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GAIN ON THE FUND'S INVESTMENTS</w:t>
            </w:r>
          </w:p>
        </w:tc>
        <w:tc>
          <w:tcPr>
            <w:tcW w:type="dxa" w:w="6860"/>
          </w:tcPr>
          <w:p>
            <w:pPr>
              <w:spacing w:before="0" w:after="0" w:line="276" w:lineRule="auto"/>
            </w:pPr>
            <w:r>
              <w:rPr>
                <w:rFonts w:ascii="Arial" w:hAnsi="Arial" w:cs="Arial" w:eastAsia="Arial"/>
                <w:b/>
                <w:bCs/>
                <w:color w:val="0E1E3A"/>
                <w:sz w:val="18"/>
                <w:szCs w:val="18"/>
              </w:rPr>
              <w:t>SAR 69,960,042</w:t>
            </w:r>
          </w:p>
        </w:tc>
      </w:tr>
      <w:tr>
        <w:tc>
          <w:tcPr>
            <w:tcW w:type="dxa" w:w="3118"/>
            <w:shd w:val="clear" w:color="auto" w:fill="F3F6FB"/>
          </w:tcPr>
          <w:p>
            <w:pPr>
              <w:spacing w:before="0" w:after="0" w:line="276" w:lineRule="auto"/>
            </w:pPr>
            <w:r>
              <w:rPr>
                <w:rFonts w:ascii="Arial" w:hAnsi="Arial" w:cs="Arial" w:eastAsia="Arial"/>
                <w:color w:val="5A6478"/>
                <w:sz w:val="18"/>
                <w:szCs w:val="18"/>
              </w:rPr>
              <w:t>GAIN FROM FOREIGN CURRENCY RATE DIFFERENCES</w:t>
            </w:r>
          </w:p>
        </w:tc>
        <w:tc>
          <w:tcPr>
            <w:tcW w:type="dxa" w:w="6860"/>
          </w:tcPr>
          <w:p>
            <w:pPr>
              <w:spacing w:before="0" w:after="0" w:line="276" w:lineRule="auto"/>
            </w:pPr>
            <w:r>
              <w:rPr>
                <w:rFonts w:ascii="Arial" w:hAnsi="Arial" w:cs="Arial" w:eastAsia="Arial"/>
                <w:b/>
                <w:bCs/>
                <w:color w:val="0E1E3A"/>
                <w:sz w:val="18"/>
                <w:szCs w:val="18"/>
              </w:rPr>
              <w:t>SAR 4,129,074</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77,793,645</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30 JUNE 2023</w:t>
            </w:r>
          </w:p>
        </w:tc>
        <w:tc>
          <w:tcPr>
            <w:tcW w:type="dxa" w:w="6860"/>
          </w:tcPr>
          <w:p>
            <w:pPr>
              <w:spacing w:before="0" w:after="0" w:line="276" w:lineRule="auto"/>
            </w:pPr>
            <w:r>
              <w:rPr>
                <w:rFonts w:ascii="Arial" w:hAnsi="Arial" w:cs="Arial" w:eastAsia="Arial"/>
                <w:b/>
                <w:bCs/>
                <w:color w:val="0E1E3A"/>
                <w:sz w:val="18"/>
                <w:szCs w:val="18"/>
              </w:rPr>
              <w:t>9.59%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10.87%</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24.34</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3"/>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10.3422</w:t>
            </w:r>
          </w:p>
        </w:tc>
        <w:tc>
          <w:tcPr>
            <w:tcW w:type="dxa" w:w="3326"/>
          </w:tcPr>
          <w:p>
            <w:pPr>
              <w:spacing w:before="0" w:after="0" w:line="264" w:lineRule="auto"/>
            </w:pPr>
            <w:r>
              <w:rPr>
                <w:rFonts w:ascii="Arial" w:hAnsi="Arial" w:cs="Arial" w:eastAsia="Arial"/>
                <w:color w:val="0E1E3A"/>
                <w:sz w:val="17"/>
                <w:szCs w:val="17"/>
              </w:rPr>
              <w:t>96.4165</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11.0865</w:t>
            </w:r>
          </w:p>
        </w:tc>
        <w:tc>
          <w:tcPr>
            <w:tcW w:type="dxa" w:w="3326"/>
          </w:tcPr>
          <w:p>
            <w:pPr>
              <w:spacing w:before="0" w:after="0" w:line="264" w:lineRule="auto"/>
            </w:pPr>
            <w:r>
              <w:rPr>
                <w:rFonts w:ascii="Arial" w:hAnsi="Arial" w:cs="Arial" w:eastAsia="Arial"/>
                <w:color w:val="0E1E3A"/>
                <w:sz w:val="17"/>
                <w:szCs w:val="17"/>
              </w:rPr>
              <w:t>103.35161</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7.20%</w:t>
            </w:r>
          </w:p>
        </w:tc>
        <w:tc>
          <w:tcPr>
            <w:tcW w:type="dxa" w:w="3326"/>
          </w:tcPr>
          <w:p>
            <w:pPr>
              <w:spacing w:before="0" w:after="0" w:line="264" w:lineRule="auto"/>
            </w:pPr>
            <w:r>
              <w:rPr>
                <w:rFonts w:ascii="Arial" w:hAnsi="Arial" w:cs="Arial" w:eastAsia="Arial"/>
                <w:color w:val="0E1E3A"/>
                <w:sz w:val="17"/>
                <w:szCs w:val="17"/>
              </w:rPr>
              <w:t>7.19%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7.16%</w:t>
            </w:r>
          </w:p>
        </w:tc>
        <w:tc>
          <w:tcPr>
            <w:tcW w:type="dxa" w:w="1663"/>
          </w:tcPr>
          <w:p>
            <w:pPr>
              <w:spacing w:before="0" w:after="0" w:line="264" w:lineRule="auto"/>
            </w:pPr>
            <w:r>
              <w:rPr>
                <w:rFonts w:ascii="Arial" w:hAnsi="Arial" w:cs="Arial" w:eastAsia="Arial"/>
                <w:color w:val="0E1E3A"/>
                <w:sz w:val="17"/>
                <w:szCs w:val="17"/>
              </w:rPr>
              <w:t>17.43%</w:t>
            </w:r>
          </w:p>
        </w:tc>
        <w:tc>
          <w:tcPr>
            <w:tcW w:type="dxa" w:w="1663"/>
          </w:tcPr>
          <w:p>
            <w:pPr>
              <w:spacing w:before="0" w:after="0" w:line="264" w:lineRule="auto"/>
            </w:pPr>
            <w:r>
              <w:rPr>
                <w:rFonts w:ascii="Arial" w:hAnsi="Arial" w:cs="Arial" w:eastAsia="Arial"/>
                <w:color w:val="0E1E3A"/>
                <w:sz w:val="17"/>
                <w:szCs w:val="17"/>
              </w:rPr>
              <w:t>18.43%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7.19%</w:t>
            </w:r>
          </w:p>
        </w:tc>
        <w:tc>
          <w:tcPr>
            <w:tcW w:type="dxa" w:w="1663"/>
          </w:tcPr>
          <w:p>
            <w:pPr>
              <w:spacing w:before="0" w:after="0" w:line="264" w:lineRule="auto"/>
            </w:pPr>
            <w:r>
              <w:rPr>
                <w:rFonts w:ascii="Arial" w:hAnsi="Arial" w:cs="Arial" w:eastAsia="Arial"/>
                <w:color w:val="0E1E3A"/>
                <w:sz w:val="17"/>
                <w:szCs w:val="17"/>
              </w:rPr>
              <w:t>16.44%</w:t>
            </w:r>
          </w:p>
        </w:tc>
        <w:tc>
          <w:tcPr>
            <w:tcW w:type="dxa" w:w="1663"/>
          </w:tcPr>
          <w:p>
            <w:pPr>
              <w:spacing w:before="0" w:after="0" w:line="264" w:lineRule="auto"/>
            </w:pPr>
            <w:r>
              <w:rPr>
                <w:rFonts w:ascii="Arial" w:hAnsi="Arial" w:cs="Arial" w:eastAsia="Arial"/>
                <w:color w:val="0E1E3A"/>
                <w:sz w:val="17"/>
                <w:szCs w:val="17"/>
              </w:rPr>
              <w:t>18.33%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-0.03%</w:t>
            </w:r>
          </w:p>
        </w:tc>
        <w:tc>
          <w:tcPr>
            <w:tcW w:type="dxa" w:w="1663"/>
          </w:tcPr>
          <w:p>
            <w:pPr>
              <w:spacing w:before="0" w:after="0" w:line="264" w:lineRule="auto"/>
            </w:pPr>
            <w:r>
              <w:rPr>
                <w:rFonts w:ascii="Arial" w:hAnsi="Arial" w:cs="Arial" w:eastAsia="Arial"/>
                <w:color w:val="0E1E3A"/>
                <w:sz w:val="17"/>
                <w:szCs w:val="17"/>
              </w:rPr>
              <w:t>0.99%</w:t>
            </w:r>
          </w:p>
        </w:tc>
        <w:tc>
          <w:tcPr>
            <w:tcW w:type="dxa" w:w="1663"/>
          </w:tcPr>
          <w:p>
            <w:pPr>
              <w:spacing w:before="0" w:after="0" w:line="264" w:lineRule="auto"/>
            </w:pPr>
            <w:r>
              <w:rPr>
                <w:rFonts w:ascii="Arial" w:hAnsi="Arial" w:cs="Arial" w:eastAsia="Arial"/>
                <w:color w:val="0E1E3A"/>
                <w:sz w:val="17"/>
                <w:szCs w:val="17"/>
              </w:rPr>
              <w:t>0.10%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DEVIATION1</w:t>
            </w:r>
          </w:p>
        </w:tc>
        <w:tc>
          <w:tcPr>
            <w:tcW w:type="dxa" w:w="1663"/>
          </w:tcPr>
          <w:p>
            <w:pPr>
              <w:spacing w:before="0" w:after="0" w:line="264" w:lineRule="auto"/>
            </w:pPr>
            <w:r>
              <w:rPr>
                <w:rFonts w:ascii="Arial" w:hAnsi="Arial" w:cs="Arial" w:eastAsia="Arial"/>
                <w:color w:val="0E1E3A"/>
                <w:sz w:val="17"/>
                <w:szCs w:val="17"/>
              </w:rPr>
              <w:t>4.47</w:t>
            </w:r>
          </w:p>
        </w:tc>
        <w:tc>
          <w:tcPr>
            <w:tcW w:type="dxa" w:w="1663"/>
          </w:tcPr>
          <w:p>
            <w:pPr>
              <w:spacing w:before="0" w:after="0" w:line="264" w:lineRule="auto"/>
            </w:pPr>
            <w:r>
              <w:rPr>
                <w:rFonts w:ascii="Arial" w:hAnsi="Arial" w:cs="Arial" w:eastAsia="Arial"/>
                <w:color w:val="0E1E3A"/>
                <w:sz w:val="17"/>
                <w:szCs w:val="17"/>
              </w:rPr>
              <w:t>7.73</w:t>
            </w:r>
          </w:p>
        </w:tc>
        <w:tc>
          <w:tcPr>
            <w:tcW w:type="dxa" w:w="1663"/>
          </w:tcPr>
          <w:p>
            <w:pPr>
              <w:spacing w:before="0" w:after="0" w:line="264" w:lineRule="auto"/>
            </w:pPr>
            <w:r>
              <w:rPr>
                <w:rFonts w:ascii="Arial" w:hAnsi="Arial" w:cs="Arial" w:eastAsia="Arial"/>
                <w:color w:val="0E1E3A"/>
                <w:sz w:val="17"/>
                <w:szCs w:val="17"/>
              </w:rPr>
              <w:t>15.36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RATIO2</w:t>
            </w:r>
          </w:p>
        </w:tc>
        <w:tc>
          <w:tcPr>
            <w:tcW w:type="dxa" w:w="1663"/>
          </w:tcPr>
          <w:p>
            <w:pPr>
              <w:spacing w:before="0" w:after="0" w:line="264" w:lineRule="auto"/>
            </w:pPr>
            <w:r>
              <w:rPr>
                <w:rFonts w:ascii="Arial" w:hAnsi="Arial" w:cs="Arial" w:eastAsia="Arial"/>
                <w:color w:val="0E1E3A"/>
                <w:sz w:val="17"/>
                <w:szCs w:val="17"/>
              </w:rPr>
              <w:t>0.33</w:t>
            </w:r>
          </w:p>
        </w:tc>
        <w:tc>
          <w:tcPr>
            <w:tcW w:type="dxa" w:w="1663"/>
          </w:tcPr>
          <w:p>
            <w:pPr>
              <w:spacing w:before="0" w:after="0" w:line="264" w:lineRule="auto"/>
            </w:pPr>
            <w:r>
              <w:rPr>
                <w:rFonts w:ascii="Arial" w:hAnsi="Arial" w:cs="Arial" w:eastAsia="Arial"/>
                <w:color w:val="0E1E3A"/>
                <w:sz w:val="17"/>
                <w:szCs w:val="17"/>
              </w:rPr>
              <w:t>1.55</w:t>
            </w:r>
          </w:p>
        </w:tc>
        <w:tc>
          <w:tcPr>
            <w:tcW w:type="dxa" w:w="1663"/>
          </w:tcPr>
          <w:p>
            <w:pPr>
              <w:spacing w:before="0" w:after="0" w:line="264" w:lineRule="auto"/>
            </w:pPr>
            <w:r>
              <w:rPr>
                <w:rFonts w:ascii="Arial" w:hAnsi="Arial" w:cs="Arial" w:eastAsia="Arial"/>
                <w:color w:val="0E1E3A"/>
                <w:sz w:val="17"/>
                <w:szCs w:val="17"/>
              </w:rPr>
              <w:t>1.04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ERROR3</w:t>
            </w:r>
          </w:p>
        </w:tc>
        <w:tc>
          <w:tcPr>
            <w:tcW w:type="dxa" w:w="1663"/>
          </w:tcPr>
          <w:p>
            <w:pPr>
              <w:spacing w:before="0" w:after="0" w:line="264" w:lineRule="auto"/>
            </w:pPr>
            <w:r>
              <w:rPr>
                <w:rFonts w:ascii="Arial" w:hAnsi="Arial" w:cs="Arial" w:eastAsia="Arial"/>
                <w:color w:val="0E1E3A"/>
                <w:sz w:val="17"/>
                <w:szCs w:val="17"/>
              </w:rPr>
              <w:t>4.03</w:t>
            </w:r>
          </w:p>
        </w:tc>
        <w:tc>
          <w:tcPr>
            <w:tcW w:type="dxa" w:w="1663"/>
          </w:tcPr>
          <w:p>
            <w:pPr>
              <w:spacing w:before="0" w:after="0" w:line="264" w:lineRule="auto"/>
            </w:pPr>
            <w:r>
              <w:rPr>
                <w:rFonts w:ascii="Arial" w:hAnsi="Arial" w:cs="Arial" w:eastAsia="Arial"/>
                <w:color w:val="0E1E3A"/>
                <w:sz w:val="17"/>
                <w:szCs w:val="17"/>
              </w:rPr>
              <w:t>6.39</w:t>
            </w:r>
          </w:p>
        </w:tc>
        <w:tc>
          <w:tcPr>
            <w:tcW w:type="dxa" w:w="1663"/>
          </w:tcPr>
          <w:p>
            <w:pPr>
              <w:spacing w:before="0" w:after="0" w:line="264" w:lineRule="auto"/>
            </w:pPr>
            <w:r>
              <w:rPr>
                <w:rFonts w:ascii="Arial" w:hAnsi="Arial" w:cs="Arial" w:eastAsia="Arial"/>
                <w:color w:val="0E1E3A"/>
                <w:sz w:val="17"/>
                <w:szCs w:val="17"/>
              </w:rPr>
              <w:t>12.38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BETA4</w:t>
            </w:r>
          </w:p>
        </w:tc>
        <w:tc>
          <w:tcPr>
            <w:tcW w:type="dxa" w:w="1663"/>
          </w:tcPr>
          <w:p>
            <w:pPr>
              <w:spacing w:before="0" w:after="0" w:line="264" w:lineRule="auto"/>
            </w:pPr>
            <w:r>
              <w:rPr>
                <w:rFonts w:ascii="Arial" w:hAnsi="Arial" w:cs="Arial" w:eastAsia="Arial"/>
                <w:color w:val="0E1E3A"/>
                <w:sz w:val="17"/>
                <w:szCs w:val="17"/>
              </w:rPr>
              <w:t>0.57</w:t>
            </w:r>
          </w:p>
        </w:tc>
        <w:tc>
          <w:tcPr>
            <w:tcW w:type="dxa" w:w="1663"/>
          </w:tcPr>
          <w:p>
            <w:pPr>
              <w:spacing w:before="0" w:after="0" w:line="264" w:lineRule="auto"/>
            </w:pPr>
            <w:r>
              <w:rPr>
                <w:rFonts w:ascii="Arial" w:hAnsi="Arial" w:cs="Arial" w:eastAsia="Arial"/>
                <w:color w:val="0E1E3A"/>
                <w:sz w:val="17"/>
                <w:szCs w:val="17"/>
              </w:rPr>
              <w:t>0.63</w:t>
            </w:r>
          </w:p>
        </w:tc>
        <w:tc>
          <w:tcPr>
            <w:tcW w:type="dxa" w:w="1663"/>
          </w:tcPr>
          <w:p>
            <w:pPr>
              <w:spacing w:before="0" w:after="0" w:line="264" w:lineRule="auto"/>
            </w:pPr>
            <w:r>
              <w:rPr>
                <w:rFonts w:ascii="Arial" w:hAnsi="Arial" w:cs="Arial" w:eastAsia="Arial"/>
                <w:color w:val="0E1E3A"/>
                <w:sz w:val="17"/>
                <w:szCs w:val="17"/>
              </w:rPr>
              <w:t>0.65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ALPHA5</w:t>
            </w:r>
          </w:p>
        </w:tc>
        <w:tc>
          <w:tcPr>
            <w:tcW w:type="dxa" w:w="1663"/>
          </w:tcPr>
          <w:p>
            <w:pPr>
              <w:spacing w:before="0" w:after="0" w:line="264" w:lineRule="auto"/>
            </w:pPr>
            <w:r>
              <w:rPr>
                <w:rFonts w:ascii="Arial" w:hAnsi="Arial" w:cs="Arial" w:eastAsia="Arial"/>
                <w:color w:val="0E1E3A"/>
                <w:sz w:val="17"/>
                <w:szCs w:val="17"/>
              </w:rPr>
              <w:t>-0.07</w:t>
            </w:r>
          </w:p>
        </w:tc>
        <w:tc>
          <w:tcPr>
            <w:tcW w:type="dxa" w:w="1663"/>
          </w:tcPr>
          <w:p>
            <w:pPr>
              <w:spacing w:before="0" w:after="0" w:line="264" w:lineRule="auto"/>
            </w:pPr>
            <w:r>
              <w:rPr>
                <w:rFonts w:ascii="Arial" w:hAnsi="Arial" w:cs="Arial" w:eastAsia="Arial"/>
                <w:color w:val="0E1E3A"/>
                <w:sz w:val="17"/>
                <w:szCs w:val="17"/>
              </w:rPr>
              <w:t>0.78</w:t>
            </w:r>
          </w:p>
        </w:tc>
        <w:tc>
          <w:tcPr>
            <w:tcW w:type="dxa" w:w="1663"/>
          </w:tcPr>
          <w:p>
            <w:pPr>
              <w:spacing w:before="0" w:after="0" w:line="264" w:lineRule="auto"/>
            </w:pPr>
            <w:r>
              <w:rPr>
                <w:rFonts w:ascii="Arial" w:hAnsi="Arial" w:cs="Arial" w:eastAsia="Arial"/>
                <w:color w:val="0E1E3A"/>
                <w:sz w:val="17"/>
                <w:szCs w:val="17"/>
              </w:rPr>
              <w:t>-0.11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RATIO6</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0.12</w:t>
            </w:r>
          </w:p>
        </w:tc>
        <w:tc>
          <w:tcPr>
            <w:tcW w:type="dxa" w:w="1663"/>
          </w:tcPr>
          <w:p>
            <w:pPr>
              <w:spacing w:before="0" w:after="0" w:line="264" w:lineRule="auto"/>
            </w:pPr>
            <w:r>
              <w:rPr>
                <w:rFonts w:ascii="Arial" w:hAnsi="Arial" w:cs="Arial" w:eastAsia="Arial"/>
                <w:color w:val="0E1E3A"/>
                <w:sz w:val="17"/>
                <w:szCs w:val="17"/>
              </w:rPr>
              <w:t>-0.01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 to generate excess returns per Unit of excess risk.</w:t>
      </w:r>
      <w:r>
        <w:br/>
      </w:r>
      <w:r>
        <w:rPr>
          <w:rFonts w:ascii="Arial" w:hAnsi="Arial" w:cs="Arial" w:eastAsia="Arial"/>
          <w:color w:val="5A6478"/>
          <w:sz w:val="17"/>
          <w:szCs w:val="17"/>
        </w:rPr>
        <w:t>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On 11 June 2023, the Fund Board approved the Fund Manager’s recommendation to repurchase its Units for cancellation of up to 50% of the total number of outstanding Units at a price not exceeding the Fund’s NAV. Unitholders will approve this Resolution in their General Assembly Meeting to be held on 19 July 2023.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80" w:line="312" w:lineRule="auto"/>
      </w:pPr>
      <w:r>
        <w:rPr>
          <w:rFonts w:ascii="Arial" w:hAnsi="Arial" w:cs="Arial" w:eastAsia="Arial"/>
          <w:color w:val="0E1E3A"/>
          <w:sz w:val="20"/>
          <w:szCs w:val="20"/>
        </w:rPr>
        <w:t>During Q2 2023, global equity markets (developed markets in particular) witnessed a positive momentum on the back of its gains during the last quarter. This is due to receding fears of a recession in the United States, a temporary hold on interest rate hikes by the US Fed, and declining oil prices.</w:t>
      </w:r>
    </w:p>
    <w:p>
      <w:pPr>
        <w:spacing w:before="0" w:after="80" w:line="312" w:lineRule="auto"/>
      </w:pPr>
      <w:r>
        <w:rPr>
          <w:rFonts w:ascii="Arial" w:hAnsi="Arial" w:cs="Arial" w:eastAsia="Arial"/>
          <w:color w:val="0E1E3A"/>
          <w:sz w:val="20"/>
          <w:szCs w:val="20"/>
        </w:rPr>
        <w:t>The US Fed temporarily halted interest rate hikes at the present time. Markets expects interest rates to decrease early First Half of 2024. With the significant decreases of interest rates, the gross national project will start to accelerate starting 2025. The loosening of supply restrictions affecting most sectors will result in growth of the economy and the equity markets. Real GNP is expected to grow by 2.5% in 2023 and 3% in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60"/>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1"/>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2"/>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Q2 2023</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