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5"/>
            <wp:cNvGraphicFramePr/>
            <a:graphic>
              <a:graphicData uri="http://schemas.openxmlformats.org/drawingml/2006/picture">
                <pic:pic>
                  <pic:nvPicPr>
                    <pic:cNvPr id="9035" name="banner9035.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6"/>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للنمو والدخل المتداول"، هو صندوق استثمار أسهم عام، متداول، مغلق، متوافق مع ضوابط الهيئة الشرعية، تم إنشاؤه بموجب الأنظمة واللوائح المعمول بها في المملكة العربية السعودية، ويخضع لرقابة وإشراف هيئة السوق المالية. ويتمثل الهدف الاستثماري للصندوق في تنمية صافي قيمة أصول الصندوق من خلال أداء استثماراته على المدى الطويل، وتحقيق دخل دوري للمستثمرين من خلال توزيع عوائد الشركات التي يستثمر بها الصندوق، بالإضافة إلى جزء من الأرباح الرأس مالية الناتجة عن نمو القيمة السوقية للأوراق المالية المستثمر بها. حيث يتم ذلك عن طريق الاستثمار في محفظة متنوعة من الأسهم العالمية، وصناديق الأسهم العامة والخاصة، وطروحات الشركات للاكتتاب العام، والطروحات الخاصة والنقد وما في حكمه.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AKGRINF AB EQUITY</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12.13 72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860,522,743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عند التأسيس</w:t>
            </w:r>
          </w:p>
        </w:tc>
        <w:tc>
          <w:tcPr>
            <w:tcW w:type="dxa" w:w="6860"/>
          </w:tcPr>
          <w:p>
            <w:pPr>
              <w:bidi w:val="1"/>
              <w:spacing w:before="0" w:after="0" w:line="276" w:lineRule="auto"/>
            </w:pPr>
            <w:r>
              <w:rPr>
                <w:rFonts w:ascii="Arial" w:hAnsi="Arial" w:cs="Arial" w:eastAsia="Arial"/>
                <w:b/>
                <w:bCs/>
                <w:color w:val="0E1E3A"/>
                <w:sz w:val="18"/>
                <w:szCs w:val="18"/>
                <w:rtl/>
              </w:rPr>
              <w:t>1 مليار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الاقتراض *</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91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2024م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فئات الأصول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9"/>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يوميًا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860,522,743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tl/>
              </w:rPr>
              <w:t>855,968,472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مصاريف التعامل للربع المعني</w:t>
            </w:r>
          </w:p>
        </w:tc>
        <w:tc>
          <w:tcPr>
            <w:tcW w:type="dxa" w:w="6860"/>
          </w:tcPr>
          <w:p>
            <w:pPr>
              <w:bidi w:val="1"/>
              <w:spacing w:before="0" w:after="0" w:line="276" w:lineRule="auto"/>
            </w:pPr>
            <w:r>
              <w:rPr>
                <w:rFonts w:ascii="Arial" w:hAnsi="Arial" w:cs="Arial" w:eastAsia="Arial"/>
                <w:b/>
                <w:bCs/>
                <w:color w:val="0E1E3A"/>
                <w:sz w:val="18"/>
                <w:szCs w:val="18"/>
                <w:rtl/>
              </w:rPr>
              <w:t>340,969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من متوسط 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Pr>
              <w:t>‎0.040%‎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‎0.35%‎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2,899,555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من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‎0.35%‎</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يونيو 2024م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خلال الربع المعني = 833,598,639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978811"/>
            <wp:docPr id="8" name="Picture 9042"/>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97881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شركات في الأسهم العالمية والمحلية المدرجة</w:t>
      </w:r>
    </w:p>
    <w:p>
      <w:pPr>
        <w:bidi w:val="1"/>
        <w:spacing w:before="0" w:after="80" w:line="240" w:lineRule="auto"/>
        <w:jc w:val="center"/>
      </w:pPr>
      <w:r>
        <w:drawing>
          <wp:inline xmlns:a="http://schemas.openxmlformats.org/drawingml/2006/main" xmlns:pic="http://schemas.openxmlformats.org/drawingml/2006/picture">
            <wp:extent cx="6336000" cy="3015784"/>
            <wp:docPr id="10" name="Picture 9044"/>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1578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قطاعات الشركات التي يستثمر فيها الصندوق</w:t>
      </w:r>
    </w:p>
    <w:p>
      <w:pPr>
        <w:bidi w:val="1"/>
        <w:spacing w:before="0" w:after="80" w:line="240" w:lineRule="auto"/>
        <w:jc w:val="center"/>
      </w:pPr>
      <w:r>
        <w:drawing>
          <wp:inline xmlns:a="http://schemas.openxmlformats.org/drawingml/2006/main" xmlns:pic="http://schemas.openxmlformats.org/drawingml/2006/picture">
            <wp:extent cx="6336000" cy="3025297"/>
            <wp:docPr id="12" name="Picture 9046"/>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2529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أسهم مدرجة</w:t>
            </w:r>
          </w:p>
        </w:tc>
        <w:tc>
          <w:tcPr>
            <w:tcW w:type="dxa" w:w="6860"/>
          </w:tcPr>
          <w:p>
            <w:pPr>
              <w:bidi w:val="1"/>
              <w:spacing w:before="0" w:after="0" w:line="276" w:lineRule="auto"/>
            </w:pPr>
            <w:r>
              <w:rPr>
                <w:rFonts w:ascii="Arial" w:hAnsi="Arial" w:cs="Arial" w:eastAsia="Arial"/>
                <w:b/>
                <w:bCs/>
                <w:color w:val="0E1E3A"/>
                <w:sz w:val="18"/>
                <w:szCs w:val="18"/>
                <w:rtl/>
              </w:rPr>
              <w:t>818,322,409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37,646,063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5" name="Picture 9049"/>
            <wp:cNvGraphicFramePr>
              <a:graphicFrameLocks noChangeAspect="1"/>
            </wp:cNvGraphicFramePr>
            <a:graphic>
              <a:graphicData uri="http://schemas.openxmlformats.org/drawingml/2006/picture">
                <pic:pic>
                  <pic:nvPicPr>
                    <pic:cNvPr id="0" name="x6.j.jpg"/>
                    <pic:cNvPicPr/>
                  </pic:nvPicPr>
                  <pic:blipFill>
                    <a:blip r:embed="rId20"/>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 (27 أبريل 2022م)</w:t>
            </w:r>
          </w:p>
        </w:tc>
        <w:tc>
          <w:tcPr>
            <w:tcW w:type="dxa" w:w="6860"/>
          </w:tcPr>
          <w:p>
            <w:pPr>
              <w:bidi w:val="1"/>
              <w:spacing w:before="0" w:after="0" w:line="276" w:lineRule="auto"/>
            </w:pPr>
            <w:r>
              <w:rPr>
                <w:rFonts w:ascii="Arial" w:hAnsi="Arial" w:cs="Arial" w:eastAsia="Arial"/>
                <w:b/>
                <w:bCs/>
                <w:color w:val="0E1E3A"/>
                <w:sz w:val="18"/>
                <w:szCs w:val="18"/>
                <w:rtl/>
              </w:rPr>
              <w:t>1,000,000,000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2022م</w:t>
            </w:r>
          </w:p>
        </w:tc>
        <w:tc>
          <w:tcPr>
            <w:tcW w:type="dxa" w:w="6860"/>
          </w:tcPr>
          <w:p>
            <w:pPr>
              <w:bidi w:val="1"/>
              <w:spacing w:before="0" w:after="0" w:line="276" w:lineRule="auto"/>
            </w:pPr>
            <w:r>
              <w:rPr>
                <w:rFonts w:ascii="Arial" w:hAnsi="Arial" w:cs="Arial" w:eastAsia="Arial"/>
                <w:b/>
                <w:bCs/>
                <w:color w:val="0E1E3A"/>
                <w:sz w:val="18"/>
                <w:szCs w:val="18"/>
                <w:rtl/>
              </w:rPr>
              <w:t>691,000,000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29 سبتمبر 2022م</w:t>
            </w:r>
          </w:p>
        </w:tc>
        <w:tc>
          <w:tcPr>
            <w:tcW w:type="dxa" w:w="6860"/>
          </w:tcPr>
          <w:p>
            <w:pPr>
              <w:bidi w:val="1"/>
              <w:spacing w:before="0" w:after="0" w:line="276" w:lineRule="auto"/>
            </w:pPr>
            <w:r>
              <w:rPr>
                <w:rFonts w:ascii="Arial" w:hAnsi="Arial" w:cs="Arial" w:eastAsia="Arial"/>
                <w:b/>
                <w:bCs/>
                <w:color w:val="0E1E3A"/>
                <w:sz w:val="18"/>
                <w:szCs w:val="18"/>
                <w:rtl/>
              </w:rPr>
              <w:t>617,000,000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29 ديسمبر 2022م</w:t>
            </w:r>
          </w:p>
        </w:tc>
        <w:tc>
          <w:tcPr>
            <w:tcW w:type="dxa" w:w="6860"/>
          </w:tcPr>
          <w:p>
            <w:pPr>
              <w:bidi w:val="1"/>
              <w:spacing w:before="0" w:after="0" w:line="276" w:lineRule="auto"/>
            </w:pPr>
            <w:r>
              <w:rPr>
                <w:rFonts w:ascii="Arial" w:hAnsi="Arial" w:cs="Arial" w:eastAsia="Arial"/>
                <w:b/>
                <w:bCs/>
                <w:color w:val="0E1E3A"/>
                <w:sz w:val="18"/>
                <w:szCs w:val="18"/>
                <w:rtl/>
              </w:rPr>
              <w:t>569,000,000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مارس 2023م</w:t>
            </w:r>
          </w:p>
        </w:tc>
        <w:tc>
          <w:tcPr>
            <w:tcW w:type="dxa" w:w="6860"/>
          </w:tcPr>
          <w:p>
            <w:pPr>
              <w:bidi w:val="1"/>
              <w:spacing w:before="0" w:after="0" w:line="276" w:lineRule="auto"/>
            </w:pPr>
            <w:r>
              <w:rPr>
                <w:rFonts w:ascii="Arial" w:hAnsi="Arial" w:cs="Arial" w:eastAsia="Arial"/>
                <w:b/>
                <w:bCs/>
                <w:color w:val="0E1E3A"/>
                <w:sz w:val="18"/>
                <w:szCs w:val="18"/>
                <w:rtl/>
              </w:rPr>
              <w:t>597,000,000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22 يونيو 2023م</w:t>
            </w:r>
          </w:p>
        </w:tc>
        <w:tc>
          <w:tcPr>
            <w:tcW w:type="dxa" w:w="6860"/>
          </w:tcPr>
          <w:p>
            <w:pPr>
              <w:bidi w:val="1"/>
              <w:spacing w:before="0" w:after="0" w:line="276" w:lineRule="auto"/>
            </w:pPr>
            <w:r>
              <w:rPr>
                <w:rFonts w:ascii="Arial" w:hAnsi="Arial" w:cs="Arial" w:eastAsia="Arial"/>
                <w:b/>
                <w:bCs/>
                <w:color w:val="0E1E3A"/>
                <w:sz w:val="18"/>
                <w:szCs w:val="18"/>
                <w:rtl/>
              </w:rPr>
              <w:t>811,000,000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28 سبتمبر 2023م *</w:t>
            </w:r>
          </w:p>
        </w:tc>
        <w:tc>
          <w:tcPr>
            <w:tcW w:type="dxa" w:w="6860"/>
          </w:tcPr>
          <w:p>
            <w:pPr>
              <w:bidi w:val="1"/>
              <w:spacing w:before="0" w:after="0" w:line="276" w:lineRule="auto"/>
            </w:pPr>
            <w:r>
              <w:rPr>
                <w:rFonts w:ascii="Arial" w:hAnsi="Arial" w:cs="Arial" w:eastAsia="Arial"/>
                <w:b/>
                <w:bCs/>
                <w:color w:val="0E1E3A"/>
                <w:sz w:val="18"/>
                <w:szCs w:val="18"/>
                <w:rtl/>
              </w:rPr>
              <w:t>654,189,890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ديسمبر 2023م **</w:t>
            </w:r>
          </w:p>
        </w:tc>
        <w:tc>
          <w:tcPr>
            <w:tcW w:type="dxa" w:w="6860"/>
          </w:tcPr>
          <w:p>
            <w:pPr>
              <w:bidi w:val="1"/>
              <w:spacing w:before="0" w:after="0" w:line="276" w:lineRule="auto"/>
            </w:pPr>
            <w:r>
              <w:rPr>
                <w:rFonts w:ascii="Arial" w:hAnsi="Arial" w:cs="Arial" w:eastAsia="Arial"/>
                <w:b/>
                <w:bCs/>
                <w:color w:val="0E1E3A"/>
                <w:sz w:val="18"/>
                <w:szCs w:val="18"/>
                <w:rtl/>
              </w:rPr>
              <w:t>633,808,698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مارس 2024م ***</w:t>
            </w:r>
          </w:p>
        </w:tc>
        <w:tc>
          <w:tcPr>
            <w:tcW w:type="dxa" w:w="6860"/>
          </w:tcPr>
          <w:p>
            <w:pPr>
              <w:bidi w:val="1"/>
              <w:spacing w:before="0" w:after="0" w:line="276" w:lineRule="auto"/>
            </w:pPr>
            <w:r>
              <w:rPr>
                <w:rFonts w:ascii="Arial" w:hAnsi="Arial" w:cs="Arial" w:eastAsia="Arial"/>
                <w:b/>
                <w:bCs/>
                <w:color w:val="0E1E3A"/>
                <w:sz w:val="18"/>
                <w:szCs w:val="18"/>
                <w:rtl/>
              </w:rPr>
              <w:t>642,402,714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2024م ****</w:t>
            </w:r>
          </w:p>
        </w:tc>
        <w:tc>
          <w:tcPr>
            <w:tcW w:type="dxa" w:w="6860"/>
          </w:tcPr>
          <w:p>
            <w:pPr>
              <w:bidi w:val="1"/>
              <w:spacing w:before="0" w:after="0" w:line="276" w:lineRule="auto"/>
            </w:pPr>
            <w:r>
              <w:rPr>
                <w:rFonts w:ascii="Arial" w:hAnsi="Arial" w:cs="Arial" w:eastAsia="Arial"/>
                <w:b/>
                <w:bCs/>
                <w:color w:val="0E1E3A"/>
                <w:sz w:val="18"/>
                <w:szCs w:val="18"/>
                <w:rtl/>
              </w:rPr>
              <w:t>621,319,083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غير متضمنة الوحدات المعاد شراؤها من قبل الصندوق بغرض إلغائها، بعدد 24,371,111 وحدة، كما في 28 سبتمبر 2023م.</w:t>
      </w:r>
      <w:r>
        <w:br/>
      </w:r>
      <w:r>
        <w:rPr>
          <w:rFonts w:ascii="Arial" w:hAnsi="Arial" w:cs="Arial" w:eastAsia="Arial"/>
          <w:color w:val="5A6478"/>
          <w:sz w:val="17"/>
          <w:szCs w:val="17"/>
          <w:rtl/>
        </w:rPr>
        <w:t>** غير متضمنة الوحدات المعاد شراؤها من قبل الصندوق بغرض إلغائها، بعدد (28,383,198 وحدة) كما في 31 ديسمبر 2023م.</w:t>
      </w:r>
      <w:r>
        <w:br/>
      </w:r>
      <w:r>
        <w:rPr>
          <w:rFonts w:ascii="Arial" w:hAnsi="Arial" w:cs="Arial" w:eastAsia="Arial"/>
          <w:color w:val="5A6478"/>
          <w:sz w:val="17"/>
          <w:szCs w:val="17"/>
          <w:rtl/>
        </w:rPr>
        <w:t>*** غير متضمنة الوحدات المعاد شراؤها من قبل الصندوق بغرض إلغائها، بعدد (28,383,198 وحدة) كما في 31 مارس 2024م.</w:t>
      </w:r>
      <w:r>
        <w:br/>
      </w:r>
      <w:r>
        <w:rPr>
          <w:rFonts w:ascii="Arial" w:hAnsi="Arial" w:cs="Arial" w:eastAsia="Arial"/>
          <w:color w:val="5A6478"/>
          <w:sz w:val="17"/>
          <w:szCs w:val="17"/>
          <w:rtl/>
        </w:rPr>
        <w:t>**** غير متضمنة الوحدات المعاد شراؤها من قبل الصندوق بغرض إلغائها، بعدد (29,475,700.00) كما في 30 يونيو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الثاني (30 يونيو 2024م)</w:t>
            </w:r>
          </w:p>
        </w:tc>
        <w:tc>
          <w:tcPr>
            <w:tcW w:type="dxa" w:w="6860"/>
          </w:tcPr>
          <w:p>
            <w:pPr>
              <w:bidi w:val="1"/>
              <w:spacing w:before="0" w:after="0" w:line="276" w:lineRule="auto"/>
            </w:pPr>
            <w:r>
              <w:rPr>
                <w:rFonts w:ascii="Arial" w:hAnsi="Arial" w:cs="Arial" w:eastAsia="Arial"/>
                <w:b/>
                <w:bCs/>
                <w:color w:val="0E1E3A"/>
                <w:sz w:val="18"/>
                <w:szCs w:val="18"/>
                <w:rtl/>
              </w:rPr>
              <w:t>8.81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مقارنة بالربع السابق (من تاريخ 31 مارس 2024م إلى 30 يونيو 2024م)</w:t>
            </w:r>
          </w:p>
        </w:tc>
        <w:tc>
          <w:tcPr>
            <w:tcW w:type="dxa" w:w="6860"/>
          </w:tcPr>
          <w:p>
            <w:pPr>
              <w:bidi w:val="1"/>
              <w:spacing w:before="0" w:after="0" w:line="276" w:lineRule="auto"/>
            </w:pPr>
            <w:r>
              <w:rPr>
                <w:rFonts w:ascii="Arial" w:hAnsi="Arial" w:cs="Arial" w:eastAsia="Arial"/>
                <w:b/>
                <w:bCs/>
                <w:color w:val="0E1E3A"/>
                <w:sz w:val="18"/>
                <w:szCs w:val="18"/>
              </w:rPr>
              <w:t>‎-1.78%‎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الثاني 2024م)</w:t>
            </w:r>
          </w:p>
        </w:tc>
        <w:tc>
          <w:tcPr>
            <w:tcW w:type="dxa" w:w="6860"/>
          </w:tcPr>
          <w:p>
            <w:pPr>
              <w:bidi w:val="1"/>
              <w:spacing w:before="0" w:after="0" w:line="276" w:lineRule="auto"/>
            </w:pPr>
            <w:r>
              <w:rPr>
                <w:rFonts w:ascii="Arial" w:hAnsi="Arial" w:cs="Arial" w:eastAsia="Arial"/>
                <w:b/>
                <w:bCs/>
                <w:color w:val="0E1E3A"/>
                <w:sz w:val="18"/>
                <w:szCs w:val="18"/>
              </w:rPr>
              <w:t>‎-11.90%‎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لسعر الوحدة منذ تاريخ الإدراج (من تاريخ الإدراج إلى نهاية الربع الثاني 2024م)</w:t>
            </w:r>
          </w:p>
        </w:tc>
        <w:tc>
          <w:tcPr>
            <w:tcW w:type="dxa" w:w="6860"/>
          </w:tcPr>
          <w:p>
            <w:pPr>
              <w:bidi w:val="1"/>
              <w:spacing w:before="0" w:after="0" w:line="276" w:lineRule="auto"/>
            </w:pPr>
            <w:r>
              <w:rPr>
                <w:rFonts w:ascii="Arial" w:hAnsi="Arial" w:cs="Arial" w:eastAsia="Arial"/>
                <w:b/>
                <w:bCs/>
                <w:color w:val="0E1E3A"/>
                <w:sz w:val="18"/>
                <w:szCs w:val="18"/>
              </w:rPr>
              <w:t>‎0.58%‎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9.97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8.07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(كما في 30 يونيو 2024م) *</w:t>
            </w:r>
          </w:p>
        </w:tc>
        <w:tc>
          <w:tcPr>
            <w:tcW w:type="dxa" w:w="6860"/>
          </w:tcPr>
          <w:p>
            <w:pPr>
              <w:bidi w:val="1"/>
              <w:spacing w:before="0" w:after="0" w:line="276" w:lineRule="auto"/>
            </w:pPr>
            <w:r>
              <w:rPr>
                <w:rFonts w:ascii="Arial" w:hAnsi="Arial" w:cs="Arial" w:eastAsia="Arial"/>
                <w:b/>
                <w:bCs/>
                <w:color w:val="0E1E3A"/>
                <w:sz w:val="18"/>
                <w:szCs w:val="18"/>
                <w:rtl/>
              </w:rPr>
              <w:t>70,524,300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بعد خصم الوحدات المعاد شراؤها من قبل الصندوق بغرض إلغائها.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52"/>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 خلال الربع المعني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يستهدف مدير الصندوق 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صافي عوائد استثمارات الصندوق، والتي تشمل فقط توزيعات الأسهم المدرجة التي يستثمر بها الصندوق مرتين سنويًا، حيث يقوم الصندوق بتوزيع العوائد خلال 40 يوم عمل من تاريخ إصدار القوائم المالية نصف السنوية والسنوية. ويحق لمدير الصندوق وفق ما يقرره مناسبًا، توزيع حتى </w:t>
            </w:r>
            <w:r>
              <w:rPr>
                <w:rFonts w:ascii="Arial" w:hAnsi="Arial" w:cs="Arial" w:eastAsia="Arial"/>
                <w:b/>
                <w:bCs/>
                <w:color w:val="0E1E3A"/>
                <w:sz w:val="18"/>
                <w:szCs w:val="18"/>
              </w:rPr>
              <w:t>‎50%‎</w:t>
            </w:r>
            <w:r>
              <w:rPr>
                <w:rFonts w:ascii="Arial" w:hAnsi="Arial" w:cs="Arial" w:eastAsia="Arial"/>
                <w:b/>
                <w:bCs/>
                <w:color w:val="0E1E3A"/>
                <w:sz w:val="18"/>
                <w:szCs w:val="18"/>
                <w:rtl/>
              </w:rPr>
              <w:t xml:space="preserve"> من صافي الأرباح الرأس مالية المحققة وغير المحققة مرتين سنويًا، حيث يقوم الصندوق بتوزيع الأرباح الرأس مالية (إن وجدت) المحققة وغير المحققة خلال (40) يوم عمل من تاريخ إصدار القوائم المالية نصف السنوية والسنوية، وسيتم الإعلان عن التوزيعات (إن وجدت) خلال عشرة أيام عمل من تاريخ إصدار القوائم المالية نصف السنوية والسنوية، وسيتم الإعلان عن تفاصيل التوزيعات النقدية من خلال موقع سوق تداول السعودية.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0.185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13,249,108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 *</w:t>
            </w:r>
          </w:p>
        </w:tc>
        <w:tc>
          <w:tcPr>
            <w:tcW w:type="dxa" w:w="6860"/>
          </w:tcPr>
          <w:p>
            <w:pPr>
              <w:bidi w:val="1"/>
              <w:spacing w:before="0" w:after="0" w:line="276" w:lineRule="auto"/>
            </w:pPr>
            <w:r>
              <w:rPr>
                <w:rFonts w:ascii="Arial" w:hAnsi="Arial" w:cs="Arial" w:eastAsia="Arial"/>
                <w:b/>
                <w:bCs/>
                <w:color w:val="0E1E3A"/>
                <w:sz w:val="18"/>
                <w:szCs w:val="18"/>
                <w:rtl/>
              </w:rPr>
              <w:t>0.185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‎1.85%‎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 السوقي</w:t>
            </w:r>
          </w:p>
        </w:tc>
        <w:tc>
          <w:tcPr>
            <w:tcW w:type="dxa" w:w="6860"/>
          </w:tcPr>
          <w:p>
            <w:pPr>
              <w:bidi w:val="1"/>
              <w:spacing w:before="0" w:after="0" w:line="276" w:lineRule="auto"/>
            </w:pPr>
            <w:r>
              <w:rPr>
                <w:rFonts w:ascii="Arial" w:hAnsi="Arial" w:cs="Arial" w:eastAsia="Arial"/>
                <w:b/>
                <w:bCs/>
                <w:color w:val="0E1E3A"/>
                <w:sz w:val="18"/>
                <w:szCs w:val="18"/>
              </w:rPr>
              <w:t>‎2.10%‎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الأرباح المستلمة من الأسهم المدرجة التي يستثمر بها الصندوق</w:t>
            </w:r>
          </w:p>
        </w:tc>
        <w:tc>
          <w:tcPr>
            <w:tcW w:type="dxa" w:w="6860"/>
          </w:tcPr>
          <w:p>
            <w:pPr>
              <w:bidi w:val="1"/>
              <w:spacing w:before="0" w:after="0" w:line="276" w:lineRule="auto"/>
            </w:pPr>
            <w:r>
              <w:rPr>
                <w:rFonts w:ascii="Arial" w:hAnsi="Arial" w:cs="Arial" w:eastAsia="Arial"/>
                <w:b/>
                <w:bCs/>
                <w:color w:val="0E1E3A"/>
                <w:sz w:val="18"/>
                <w:szCs w:val="18"/>
                <w:rtl/>
              </w:rPr>
              <w:t>3,506,561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3,219,011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غير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33,485,026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فروقات عملة أجنبية</w:t>
            </w:r>
          </w:p>
        </w:tc>
        <w:tc>
          <w:tcPr>
            <w:tcW w:type="dxa" w:w="6860"/>
          </w:tcPr>
          <w:p>
            <w:pPr>
              <w:bidi w:val="1"/>
              <w:spacing w:before="0" w:after="0" w:line="276" w:lineRule="auto"/>
            </w:pPr>
            <w:r>
              <w:rPr>
                <w:rFonts w:ascii="Arial" w:hAnsi="Arial" w:cs="Arial" w:eastAsia="Arial"/>
                <w:b/>
                <w:bCs/>
                <w:color w:val="0E1E3A"/>
                <w:sz w:val="18"/>
                <w:szCs w:val="18"/>
                <w:rtl/>
              </w:rPr>
              <w:t>(338,457)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39,872,140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 خل للربع المعني على سعر الوحدة كما في 30 يوني و 2024م</w:t>
            </w:r>
          </w:p>
        </w:tc>
        <w:tc>
          <w:tcPr>
            <w:tcW w:type="dxa" w:w="6860"/>
          </w:tcPr>
          <w:p>
            <w:pPr>
              <w:bidi w:val="1"/>
              <w:spacing w:before="0" w:after="0" w:line="276" w:lineRule="auto"/>
            </w:pPr>
            <w:r>
              <w:rPr>
                <w:rFonts w:ascii="Arial" w:hAnsi="Arial" w:cs="Arial" w:eastAsia="Arial"/>
                <w:b/>
                <w:bCs/>
                <w:color w:val="0E1E3A"/>
                <w:sz w:val="18"/>
                <w:szCs w:val="18"/>
              </w:rPr>
              <w:t>‎6.42%‎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عدد الوحدات بتاريخ استحقاق التوزيع كان 71,616,802 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الصافي للصندوق منذ تاريخ البدء</w:t>
            </w:r>
          </w:p>
        </w:tc>
        <w:tc>
          <w:tcPr>
            <w:tcW w:type="dxa" w:w="6860"/>
          </w:tcPr>
          <w:p>
            <w:pPr>
              <w:bidi w:val="1"/>
              <w:spacing w:before="0" w:after="0" w:line="276" w:lineRule="auto"/>
            </w:pPr>
            <w:r>
              <w:rPr>
                <w:rFonts w:ascii="Arial" w:hAnsi="Arial" w:cs="Arial" w:eastAsia="Arial"/>
                <w:b/>
                <w:bCs/>
                <w:color w:val="0E1E3A"/>
                <w:sz w:val="18"/>
                <w:szCs w:val="18"/>
              </w:rPr>
              <w:t>‎34.63%‎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(لآخر 12 شهرًا)</w:t>
            </w:r>
          </w:p>
        </w:tc>
        <w:tc>
          <w:tcPr>
            <w:tcW w:type="dxa" w:w="6860"/>
          </w:tcPr>
          <w:p>
            <w:pPr>
              <w:bidi w:val="1"/>
              <w:spacing w:before="0" w:after="0" w:line="276" w:lineRule="auto"/>
            </w:pPr>
            <w:r>
              <w:rPr>
                <w:rFonts w:ascii="Arial" w:hAnsi="Arial" w:cs="Arial" w:eastAsia="Arial"/>
                <w:b/>
                <w:bCs/>
                <w:color w:val="0E1E3A"/>
                <w:sz w:val="18"/>
                <w:szCs w:val="18"/>
                <w:rtl/>
              </w:rPr>
              <w:t>23.82x</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مؤشر "الخبير للأسهم العالمية"، وهو مؤشر تم إنشاؤه خصيصًا لصالح الصندوق بالتعاون مع مقدم خدمة المؤشر، والذي سيقوم بحساب قيم الشركات المضمنة في المؤشر وإدارته لمصلحة الصندوق. ويشمل المؤشر شركات متنوعة القطاعات والأحجام في أكبر الأسواق المالية العالمية، بالإضافة إلى أكبر الشركات القيادية في المملكة العربية السعودية بعد فلترة الشركات بناءً على قيمة سوقية تتجاوز 100 مليون دولار أمريكي، وقيمة متداولة تتجاوز مليون دولار أمريكي يوميًا. ويشمل المؤشر 160 شركة عالمية، تمثل أكبر الأسواق المالية العالمية، بالإضافة إلى أكبر عشر شركات في المملكة العربية السعودية متوافقة مع ضوابط اللجنة الشرعية. وتم تقسيم الشركات العالمية بحسب القيم السوقية على ثلاث فئات: أكبر 70 شركة من حيث القيم السوقية للأسهم الحرة من ضمن الشركات ذات القيم السوقية الكبيرة، وأكبر 50 شركة من حيث القيم السوقية للأسهم الحرة من ضمن الشركات ذات القيم السوقية المتوسطة، وأكبر 40 شركة من حيث القيم السوقية للأسهم الحرة من ضمن الشركات ذات القيم السوقية الصغيرة.</w:t>
      </w:r>
    </w:p>
    <w:p>
      <w:pPr>
        <w:bidi w:val="1"/>
        <w:spacing w:before="0" w:after="80" w:line="312" w:lineRule="auto"/>
      </w:pPr>
      <w:r>
        <w:rPr>
          <w:rFonts w:ascii="Arial" w:hAnsi="Arial" w:cs="Arial" w:eastAsia="Arial"/>
          <w:color w:val="0E1E3A"/>
          <w:sz w:val="20"/>
          <w:szCs w:val="20"/>
          <w:rtl/>
        </w:rPr>
        <w:t xml:space="preserve">يتم تعريف الشركات ذات القيمة السوقية الكبيرة بأنها تلك الشركات التي تمثل أكبر قيمة سوقية، وهي الشركة من شريحة الشركات التي تمثل ما يصل إلى </w:t>
      </w:r>
      <w:r>
        <w:rPr>
          <w:rFonts w:ascii="Arial" w:hAnsi="Arial" w:cs="Arial" w:eastAsia="Arial"/>
          <w:color w:val="0E1E3A"/>
          <w:sz w:val="20"/>
          <w:szCs w:val="20"/>
        </w:rPr>
        <w:t>‎70%‎</w:t>
      </w:r>
      <w:r>
        <w:rPr>
          <w:rFonts w:ascii="Arial" w:hAnsi="Arial" w:cs="Arial" w:eastAsia="Arial"/>
          <w:color w:val="0E1E3A"/>
          <w:sz w:val="20"/>
          <w:szCs w:val="20"/>
          <w:rtl/>
        </w:rPr>
        <w:t xml:space="preserve"> من حجم قيم السوق مجتمعة، بينما تمثل شريحة الشركات متوسطة القيمة السوقية ما يتراوح بين أكثر من </w:t>
      </w:r>
      <w:r>
        <w:rPr>
          <w:rFonts w:ascii="Arial" w:hAnsi="Arial" w:cs="Arial" w:eastAsia="Arial"/>
          <w:color w:val="0E1E3A"/>
          <w:sz w:val="20"/>
          <w:szCs w:val="20"/>
        </w:rPr>
        <w:t>‎70%‎</w:t>
      </w:r>
      <w:r>
        <w:rPr>
          <w:rFonts w:ascii="Arial" w:hAnsi="Arial" w:cs="Arial" w:eastAsia="Arial"/>
          <w:color w:val="0E1E3A"/>
          <w:sz w:val="20"/>
          <w:szCs w:val="20"/>
          <w:rtl/>
        </w:rPr>
        <w:t xml:space="preserve"> وبين ما يصل إلى </w:t>
      </w:r>
      <w:r>
        <w:rPr>
          <w:rFonts w:ascii="Arial" w:hAnsi="Arial" w:cs="Arial" w:eastAsia="Arial"/>
          <w:color w:val="0E1E3A"/>
          <w:sz w:val="20"/>
          <w:szCs w:val="20"/>
        </w:rPr>
        <w:t>‎85%‎</w:t>
      </w:r>
      <w:r>
        <w:rPr>
          <w:rFonts w:ascii="Arial" w:hAnsi="Arial" w:cs="Arial" w:eastAsia="Arial"/>
          <w:color w:val="0E1E3A"/>
          <w:sz w:val="20"/>
          <w:szCs w:val="20"/>
          <w:rtl/>
        </w:rPr>
        <w:t xml:space="preserve"> من حجم قيم السوق مجتمعة، وتمثل شريحة الشركات صغيرة حجم القيمة السوقية ما يتراوح بين أكثر من </w:t>
      </w:r>
      <w:r>
        <w:rPr>
          <w:rFonts w:ascii="Arial" w:hAnsi="Arial" w:cs="Arial" w:eastAsia="Arial"/>
          <w:color w:val="0E1E3A"/>
          <w:sz w:val="20"/>
          <w:szCs w:val="20"/>
        </w:rPr>
        <w:t>‎85%‎</w:t>
      </w:r>
      <w:r>
        <w:rPr>
          <w:rFonts w:ascii="Arial" w:hAnsi="Arial" w:cs="Arial" w:eastAsia="Arial"/>
          <w:color w:val="0E1E3A"/>
          <w:sz w:val="20"/>
          <w:szCs w:val="20"/>
          <w:rtl/>
        </w:rPr>
        <w:t xml:space="preserve">، حتى ما يصل إلى </w:t>
      </w:r>
      <w:r>
        <w:rPr>
          <w:rFonts w:ascii="Arial" w:hAnsi="Arial" w:cs="Arial" w:eastAsia="Arial"/>
          <w:color w:val="0E1E3A"/>
          <w:sz w:val="20"/>
          <w:szCs w:val="20"/>
        </w:rPr>
        <w:t>‎100%‎</w:t>
      </w:r>
      <w:r>
        <w:rPr>
          <w:rFonts w:ascii="Arial" w:hAnsi="Arial" w:cs="Arial" w:eastAsia="Arial"/>
          <w:color w:val="0E1E3A"/>
          <w:sz w:val="20"/>
          <w:szCs w:val="20"/>
          <w:rtl/>
        </w:rPr>
        <w:t xml:space="preserve"> من حجم قيم السوق مجتمعة.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5"/>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للنمو والدخل المتداول"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مؤشر "الخبير للأسهم العالمية"</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11.7473 ر.س.</w:t>
            </w:r>
          </w:p>
        </w:tc>
        <w:tc>
          <w:tcPr>
            <w:tcW w:type="dxa" w:w="3326"/>
          </w:tcPr>
          <w:p>
            <w:pPr>
              <w:bidi w:val="1"/>
              <w:spacing w:before="0" w:after="0" w:line="264" w:lineRule="auto"/>
            </w:pPr>
            <w:r>
              <w:rPr>
                <w:rFonts w:ascii="Arial" w:hAnsi="Arial" w:cs="Arial" w:eastAsia="Arial"/>
                <w:color w:val="0E1E3A"/>
                <w:sz w:val="17"/>
                <w:szCs w:val="17"/>
                <w:rtl/>
              </w:rPr>
              <w:t>114.0263</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12.1372 ر.س.</w:t>
            </w:r>
          </w:p>
        </w:tc>
        <w:tc>
          <w:tcPr>
            <w:tcW w:type="dxa" w:w="3326"/>
          </w:tcPr>
          <w:p>
            <w:pPr>
              <w:bidi w:val="1"/>
              <w:spacing w:before="0" w:after="0" w:line="264" w:lineRule="auto"/>
            </w:pPr>
            <w:r>
              <w:rPr>
                <w:rFonts w:ascii="Arial" w:hAnsi="Arial" w:cs="Arial" w:eastAsia="Arial"/>
                <w:color w:val="0E1E3A"/>
                <w:sz w:val="17"/>
                <w:szCs w:val="17"/>
                <w:rtl/>
              </w:rPr>
              <w:t>119.0440</w:t>
            </w:r>
          </w:p>
        </w:tc>
      </w:tr>
      <w:tr>
        <w:tc>
          <w:tcPr>
            <w:tcW w:type="dxa" w:w="3326"/>
          </w:tcPr>
          <w:p>
            <w:pPr>
              <w:bidi w:val="1"/>
              <w:spacing w:before="0" w:after="0" w:line="264" w:lineRule="auto"/>
            </w:pPr>
            <w:r>
              <w:rPr>
                <w:rFonts w:ascii="Arial" w:hAnsi="Arial" w:cs="Arial" w:eastAsia="Arial"/>
                <w:color w:val="0E1E3A"/>
                <w:sz w:val="17"/>
                <w:szCs w:val="17"/>
                <w:rtl/>
              </w:rPr>
              <w:t>أداء الوحدة *</w:t>
            </w:r>
          </w:p>
        </w:tc>
        <w:tc>
          <w:tcPr>
            <w:tcW w:type="dxa" w:w="3326"/>
          </w:tcPr>
          <w:p>
            <w:pPr>
              <w:bidi w:val="1"/>
              <w:spacing w:before="0" w:after="0" w:line="264" w:lineRule="auto"/>
            </w:pPr>
            <w:r>
              <w:rPr>
                <w:rFonts w:ascii="Arial" w:hAnsi="Arial" w:cs="Arial" w:eastAsia="Arial"/>
                <w:color w:val="0E1E3A"/>
                <w:sz w:val="17"/>
                <w:szCs w:val="17"/>
              </w:rPr>
              <w:t>‎3.32%‎</w:t>
            </w:r>
          </w:p>
        </w:tc>
        <w:tc>
          <w:tcPr>
            <w:tcW w:type="dxa" w:w="3326"/>
          </w:tcPr>
          <w:p>
            <w:pPr>
              <w:bidi w:val="1"/>
              <w:spacing w:before="0" w:after="0" w:line="264" w:lineRule="auto"/>
            </w:pPr>
            <w:r>
              <w:rPr>
                <w:rFonts w:ascii="Arial" w:hAnsi="Arial" w:cs="Arial" w:eastAsia="Arial"/>
                <w:color w:val="0E1E3A"/>
                <w:sz w:val="17"/>
                <w:szCs w:val="17"/>
              </w:rPr>
              <w:t>‎4.40%‎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أداء صافي قيمة الوحدة والتي لا تشمل توزيع الأرباح للفترة المحددة.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5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7"/>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‎5.00%‎</w:t>
            </w:r>
          </w:p>
        </w:tc>
        <w:tc>
          <w:tcPr>
            <w:tcW w:type="dxa" w:w="1663"/>
          </w:tcPr>
          <w:p>
            <w:pPr>
              <w:bidi w:val="1"/>
              <w:spacing w:before="0" w:after="0" w:line="264" w:lineRule="auto"/>
            </w:pPr>
            <w:r>
              <w:rPr>
                <w:rFonts w:ascii="Arial" w:hAnsi="Arial" w:cs="Arial" w:eastAsia="Arial"/>
                <w:color w:val="0E1E3A"/>
                <w:sz w:val="17"/>
                <w:szCs w:val="17"/>
              </w:rPr>
              <w:t>‎11.39%‎</w:t>
            </w:r>
          </w:p>
        </w:tc>
        <w:tc>
          <w:tcPr>
            <w:tcW w:type="dxa" w:w="1663"/>
          </w:tcPr>
          <w:p>
            <w:pPr>
              <w:bidi w:val="1"/>
              <w:spacing w:before="0" w:after="0" w:line="264" w:lineRule="auto"/>
            </w:pPr>
            <w:r>
              <w:rPr>
                <w:rFonts w:ascii="Arial" w:hAnsi="Arial" w:cs="Arial" w:eastAsia="Arial"/>
                <w:color w:val="0E1E3A"/>
                <w:sz w:val="17"/>
                <w:szCs w:val="17"/>
              </w:rPr>
              <w:t>‎21.43%‎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‎4.40%‎</w:t>
            </w:r>
          </w:p>
        </w:tc>
        <w:tc>
          <w:tcPr>
            <w:tcW w:type="dxa" w:w="1663"/>
          </w:tcPr>
          <w:p>
            <w:pPr>
              <w:bidi w:val="1"/>
              <w:spacing w:before="0" w:after="0" w:line="264" w:lineRule="auto"/>
            </w:pPr>
            <w:r>
              <w:rPr>
                <w:rFonts w:ascii="Arial" w:hAnsi="Arial" w:cs="Arial" w:eastAsia="Arial"/>
                <w:color w:val="0E1E3A"/>
                <w:sz w:val="17"/>
                <w:szCs w:val="17"/>
              </w:rPr>
              <w:t>‎11.24%‎</w:t>
            </w:r>
          </w:p>
        </w:tc>
        <w:tc>
          <w:tcPr>
            <w:tcW w:type="dxa" w:w="1663"/>
          </w:tcPr>
          <w:p>
            <w:pPr>
              <w:bidi w:val="1"/>
              <w:spacing w:before="0" w:after="0" w:line="264" w:lineRule="auto"/>
            </w:pPr>
            <w:r>
              <w:rPr>
                <w:rFonts w:ascii="Arial" w:hAnsi="Arial" w:cs="Arial" w:eastAsia="Arial"/>
                <w:color w:val="0E1E3A"/>
                <w:sz w:val="17"/>
                <w:szCs w:val="17"/>
              </w:rPr>
              <w:t>‎15.18%‎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‎0.60%‎</w:t>
            </w:r>
          </w:p>
        </w:tc>
        <w:tc>
          <w:tcPr>
            <w:tcW w:type="dxa" w:w="1663"/>
          </w:tcPr>
          <w:p>
            <w:pPr>
              <w:bidi w:val="1"/>
              <w:spacing w:before="0" w:after="0" w:line="264" w:lineRule="auto"/>
            </w:pPr>
            <w:r>
              <w:rPr>
                <w:rFonts w:ascii="Arial" w:hAnsi="Arial" w:cs="Arial" w:eastAsia="Arial"/>
                <w:color w:val="0E1E3A"/>
                <w:sz w:val="17"/>
                <w:szCs w:val="17"/>
              </w:rPr>
              <w:t>‎0.15%‎</w:t>
            </w:r>
          </w:p>
        </w:tc>
        <w:tc>
          <w:tcPr>
            <w:tcW w:type="dxa" w:w="1663"/>
          </w:tcPr>
          <w:p>
            <w:pPr>
              <w:bidi w:val="1"/>
              <w:spacing w:before="0" w:after="0" w:line="264" w:lineRule="auto"/>
            </w:pPr>
            <w:r>
              <w:rPr>
                <w:rFonts w:ascii="Arial" w:hAnsi="Arial" w:cs="Arial" w:eastAsia="Arial"/>
                <w:color w:val="0E1E3A"/>
                <w:sz w:val="17"/>
                <w:szCs w:val="17"/>
              </w:rPr>
              <w:t>‎6.25%‎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 (تتضمن توزيع أرباح قدرها 0.185 ريال سعودي خلال الربع الثاني).</w:t>
      </w:r>
      <w:r>
        <w:br/>
      </w:r>
      <w:r>
        <w:rPr>
          <w:rFonts w:ascii="Arial" w:hAnsi="Arial" w:cs="Arial" w:eastAsia="Arial"/>
          <w:color w:val="5A6478"/>
          <w:sz w:val="17"/>
          <w:szCs w:val="17"/>
          <w:rtl/>
        </w:rPr>
        <w:t>** عن الفترة من 31 ديسمبر 2023م إلى 30 يونيو 2024م.</w:t>
      </w:r>
      <w:r>
        <w:br/>
      </w:r>
      <w:r>
        <w:rPr>
          <w:rFonts w:ascii="Arial" w:hAnsi="Arial" w:cs="Arial" w:eastAsia="Arial"/>
          <w:color w:val="5A6478"/>
          <w:sz w:val="17"/>
          <w:szCs w:val="17"/>
          <w:rtl/>
        </w:rPr>
        <w:t>*** عن الفترة من 30 يونيو 2023م إلى 30 يونيو 2024م متضمنة توزيعات نقدية بقيمة 1.115 ر.س (0.93 +0.185).</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8"/>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1</w:t>
            </w:r>
          </w:p>
        </w:tc>
        <w:tc>
          <w:tcPr>
            <w:tcW w:type="dxa" w:w="1663"/>
          </w:tcPr>
          <w:p>
            <w:pPr>
              <w:bidi w:val="1"/>
              <w:spacing w:before="0" w:after="0" w:line="264" w:lineRule="auto"/>
            </w:pPr>
            <w:r>
              <w:rPr>
                <w:rFonts w:ascii="Arial" w:hAnsi="Arial" w:cs="Arial" w:eastAsia="Arial"/>
                <w:color w:val="0E1E3A"/>
                <w:sz w:val="17"/>
                <w:szCs w:val="17"/>
                <w:rtl/>
              </w:rPr>
              <w:t>9.93</w:t>
            </w:r>
          </w:p>
        </w:tc>
        <w:tc>
          <w:tcPr>
            <w:tcW w:type="dxa" w:w="1663"/>
          </w:tcPr>
          <w:p>
            <w:pPr>
              <w:bidi w:val="1"/>
              <w:spacing w:before="0" w:after="0" w:line="264" w:lineRule="auto"/>
            </w:pPr>
            <w:r>
              <w:rPr>
                <w:rFonts w:ascii="Arial" w:hAnsi="Arial" w:cs="Arial" w:eastAsia="Arial"/>
                <w:color w:val="0E1E3A"/>
                <w:sz w:val="17"/>
                <w:szCs w:val="17"/>
                <w:rtl/>
              </w:rPr>
              <w:t>8.92</w:t>
            </w:r>
          </w:p>
        </w:tc>
        <w:tc>
          <w:tcPr>
            <w:tcW w:type="dxa" w:w="1663"/>
          </w:tcPr>
          <w:p>
            <w:pPr>
              <w:bidi w:val="1"/>
              <w:spacing w:before="0" w:after="0" w:line="264" w:lineRule="auto"/>
            </w:pPr>
            <w:r>
              <w:rPr>
                <w:rFonts w:ascii="Arial" w:hAnsi="Arial" w:cs="Arial" w:eastAsia="Arial"/>
                <w:color w:val="0E1E3A"/>
                <w:sz w:val="17"/>
                <w:szCs w:val="17"/>
                <w:rtl/>
              </w:rPr>
              <w:t>12.85</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2</w:t>
            </w:r>
          </w:p>
        </w:tc>
        <w:tc>
          <w:tcPr>
            <w:tcW w:type="dxa" w:w="1663"/>
          </w:tcPr>
          <w:p>
            <w:pPr>
              <w:bidi w:val="1"/>
              <w:spacing w:before="0" w:after="0" w:line="264" w:lineRule="auto"/>
            </w:pPr>
            <w:r>
              <w:rPr>
                <w:rFonts w:ascii="Arial" w:hAnsi="Arial" w:cs="Arial" w:eastAsia="Arial"/>
                <w:color w:val="0E1E3A"/>
                <w:sz w:val="17"/>
                <w:szCs w:val="17"/>
                <w:rtl/>
              </w:rPr>
              <w:t>1.71</w:t>
            </w:r>
          </w:p>
        </w:tc>
        <w:tc>
          <w:tcPr>
            <w:tcW w:type="dxa" w:w="1663"/>
          </w:tcPr>
          <w:p>
            <w:pPr>
              <w:bidi w:val="1"/>
              <w:spacing w:before="0" w:after="0" w:line="264" w:lineRule="auto"/>
            </w:pPr>
            <w:r>
              <w:rPr>
                <w:rFonts w:ascii="Arial" w:hAnsi="Arial" w:cs="Arial" w:eastAsia="Arial"/>
                <w:color w:val="0E1E3A"/>
                <w:sz w:val="17"/>
                <w:szCs w:val="17"/>
                <w:rtl/>
              </w:rPr>
              <w:t>2.08</w:t>
            </w:r>
          </w:p>
        </w:tc>
        <w:tc>
          <w:tcPr>
            <w:tcW w:type="dxa" w:w="1663"/>
          </w:tcPr>
          <w:p>
            <w:pPr>
              <w:bidi w:val="1"/>
              <w:spacing w:before="0" w:after="0" w:line="264" w:lineRule="auto"/>
            </w:pPr>
            <w:r>
              <w:rPr>
                <w:rFonts w:ascii="Arial" w:hAnsi="Arial" w:cs="Arial" w:eastAsia="Arial"/>
                <w:color w:val="0E1E3A"/>
                <w:sz w:val="17"/>
                <w:szCs w:val="17"/>
                <w:rtl/>
              </w:rPr>
              <w:t>2.00</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3</w:t>
            </w:r>
          </w:p>
        </w:tc>
        <w:tc>
          <w:tcPr>
            <w:tcW w:type="dxa" w:w="1663"/>
          </w:tcPr>
          <w:p>
            <w:pPr>
              <w:bidi w:val="1"/>
              <w:spacing w:before="0" w:after="0" w:line="264" w:lineRule="auto"/>
            </w:pPr>
            <w:r>
              <w:rPr>
                <w:rFonts w:ascii="Arial" w:hAnsi="Arial" w:cs="Arial" w:eastAsia="Arial"/>
                <w:color w:val="0E1E3A"/>
                <w:sz w:val="17"/>
                <w:szCs w:val="17"/>
                <w:rtl/>
              </w:rPr>
              <w:t>5.86</w:t>
            </w:r>
          </w:p>
        </w:tc>
        <w:tc>
          <w:tcPr>
            <w:tcW w:type="dxa" w:w="1663"/>
          </w:tcPr>
          <w:p>
            <w:pPr>
              <w:bidi w:val="1"/>
              <w:spacing w:before="0" w:after="0" w:line="264" w:lineRule="auto"/>
            </w:pPr>
            <w:r>
              <w:rPr>
                <w:rFonts w:ascii="Arial" w:hAnsi="Arial" w:cs="Arial" w:eastAsia="Arial"/>
                <w:color w:val="0E1E3A"/>
                <w:sz w:val="17"/>
                <w:szCs w:val="17"/>
                <w:rtl/>
              </w:rPr>
              <w:t>5.29</w:t>
            </w:r>
          </w:p>
        </w:tc>
        <w:tc>
          <w:tcPr>
            <w:tcW w:type="dxa" w:w="1663"/>
          </w:tcPr>
          <w:p>
            <w:pPr>
              <w:bidi w:val="1"/>
              <w:spacing w:before="0" w:after="0" w:line="264" w:lineRule="auto"/>
            </w:pPr>
            <w:r>
              <w:rPr>
                <w:rFonts w:ascii="Arial" w:hAnsi="Arial" w:cs="Arial" w:eastAsia="Arial"/>
                <w:color w:val="0E1E3A"/>
                <w:sz w:val="17"/>
                <w:szCs w:val="17"/>
                <w:rtl/>
              </w:rPr>
              <w:t>9.81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4</w:t>
            </w:r>
          </w:p>
        </w:tc>
        <w:tc>
          <w:tcPr>
            <w:tcW w:type="dxa" w:w="1663"/>
          </w:tcPr>
          <w:p>
            <w:pPr>
              <w:bidi w:val="1"/>
              <w:spacing w:before="0" w:after="0" w:line="264" w:lineRule="auto"/>
            </w:pPr>
            <w:r>
              <w:rPr>
                <w:rFonts w:ascii="Arial" w:hAnsi="Arial" w:cs="Arial" w:eastAsia="Arial"/>
                <w:color w:val="0E1E3A"/>
                <w:sz w:val="17"/>
                <w:szCs w:val="17"/>
                <w:rtl/>
              </w:rPr>
              <w:t>0.95</w:t>
            </w:r>
          </w:p>
        </w:tc>
        <w:tc>
          <w:tcPr>
            <w:tcW w:type="dxa" w:w="1663"/>
          </w:tcPr>
          <w:p>
            <w:pPr>
              <w:bidi w:val="1"/>
              <w:spacing w:before="0" w:after="0" w:line="264" w:lineRule="auto"/>
            </w:pPr>
            <w:r>
              <w:rPr>
                <w:rFonts w:ascii="Arial" w:hAnsi="Arial" w:cs="Arial" w:eastAsia="Arial"/>
                <w:color w:val="0E1E3A"/>
                <w:sz w:val="17"/>
                <w:szCs w:val="17"/>
                <w:rtl/>
              </w:rPr>
              <w:t>0.85</w:t>
            </w:r>
          </w:p>
        </w:tc>
        <w:tc>
          <w:tcPr>
            <w:tcW w:type="dxa" w:w="1663"/>
          </w:tcPr>
          <w:p>
            <w:pPr>
              <w:bidi w:val="1"/>
              <w:spacing w:before="0" w:after="0" w:line="264" w:lineRule="auto"/>
            </w:pPr>
            <w:r>
              <w:rPr>
                <w:rFonts w:ascii="Arial" w:hAnsi="Arial" w:cs="Arial" w:eastAsia="Arial"/>
                <w:color w:val="0E1E3A"/>
                <w:sz w:val="17"/>
                <w:szCs w:val="17"/>
                <w:rtl/>
              </w:rPr>
              <w:t>0.89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5</w:t>
            </w:r>
          </w:p>
        </w:tc>
        <w:tc>
          <w:tcPr>
            <w:tcW w:type="dxa" w:w="1663"/>
          </w:tcPr>
          <w:p>
            <w:pPr>
              <w:bidi w:val="1"/>
              <w:spacing w:before="0" w:after="0" w:line="264" w:lineRule="auto"/>
            </w:pPr>
            <w:r>
              <w:rPr>
                <w:rFonts w:ascii="Arial" w:hAnsi="Arial" w:cs="Arial" w:eastAsia="Arial"/>
                <w:color w:val="0E1E3A"/>
                <w:sz w:val="17"/>
                <w:szCs w:val="17"/>
              </w:rPr>
              <w:t>‎2.62%‎</w:t>
            </w:r>
          </w:p>
        </w:tc>
        <w:tc>
          <w:tcPr>
            <w:tcW w:type="dxa" w:w="1663"/>
          </w:tcPr>
          <w:p>
            <w:pPr>
              <w:bidi w:val="1"/>
              <w:spacing w:before="0" w:after="0" w:line="264" w:lineRule="auto"/>
            </w:pPr>
            <w:r>
              <w:rPr>
                <w:rFonts w:ascii="Arial" w:hAnsi="Arial" w:cs="Arial" w:eastAsia="Arial"/>
                <w:color w:val="0E1E3A"/>
                <w:sz w:val="17"/>
                <w:szCs w:val="17"/>
              </w:rPr>
              <w:t>‎0.18%‎</w:t>
            </w:r>
          </w:p>
        </w:tc>
        <w:tc>
          <w:tcPr>
            <w:tcW w:type="dxa" w:w="1663"/>
          </w:tcPr>
          <w:p>
            <w:pPr>
              <w:bidi w:val="1"/>
              <w:spacing w:before="0" w:after="0" w:line="264" w:lineRule="auto"/>
            </w:pPr>
            <w:r>
              <w:rPr>
                <w:rFonts w:ascii="Arial" w:hAnsi="Arial" w:cs="Arial" w:eastAsia="Arial"/>
                <w:color w:val="0E1E3A"/>
                <w:sz w:val="17"/>
                <w:szCs w:val="17"/>
              </w:rPr>
              <w:t>‎13.80%‎</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6</w:t>
            </w:r>
          </w:p>
        </w:tc>
        <w:tc>
          <w:tcPr>
            <w:tcW w:type="dxa" w:w="1663"/>
          </w:tcPr>
          <w:p>
            <w:pPr>
              <w:bidi w:val="1"/>
              <w:spacing w:before="0" w:after="0" w:line="264" w:lineRule="auto"/>
            </w:pPr>
            <w:r>
              <w:rPr>
                <w:rFonts w:ascii="Arial" w:hAnsi="Arial" w:cs="Arial" w:eastAsia="Arial"/>
                <w:color w:val="0E1E3A"/>
                <w:sz w:val="17"/>
                <w:szCs w:val="17"/>
                <w:rtl/>
              </w:rPr>
              <w:t>0.45</w:t>
            </w:r>
          </w:p>
        </w:tc>
        <w:tc>
          <w:tcPr>
            <w:tcW w:type="dxa" w:w="1663"/>
          </w:tcPr>
          <w:p>
            <w:pPr>
              <w:bidi w:val="1"/>
              <w:spacing w:before="0" w:after="0" w:line="264" w:lineRule="auto"/>
            </w:pPr>
            <w:r>
              <w:rPr>
                <w:rFonts w:ascii="Arial" w:hAnsi="Arial" w:cs="Arial" w:eastAsia="Arial"/>
                <w:color w:val="0E1E3A"/>
                <w:sz w:val="17"/>
                <w:szCs w:val="17"/>
                <w:rtl/>
              </w:rPr>
              <w:t>0.03</w:t>
            </w:r>
          </w:p>
        </w:tc>
        <w:tc>
          <w:tcPr>
            <w:tcW w:type="dxa" w:w="1663"/>
          </w:tcPr>
          <w:p>
            <w:pPr>
              <w:bidi w:val="1"/>
              <w:spacing w:before="0" w:after="0" w:line="264" w:lineRule="auto"/>
            </w:pPr>
            <w:r>
              <w:rPr>
                <w:rFonts w:ascii="Arial" w:hAnsi="Arial" w:cs="Arial" w:eastAsia="Arial"/>
                <w:color w:val="0E1E3A"/>
                <w:sz w:val="17"/>
                <w:szCs w:val="17"/>
                <w:rtl/>
              </w:rPr>
              <w:t>1.41</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الانحراف المعياري هو مقياس للمخاطر، ويتم حسابه على أنه التذبذب بين العوائد على مدى فترة زمنية. وكلما انخفض التقلب، كانت مجموعة العوائد أكثر تجانسًا.</w:t>
      </w:r>
      <w:r>
        <w:br/>
      </w:r>
      <w:r>
        <w:rPr>
          <w:rFonts w:ascii="Arial" w:hAnsi="Arial" w:cs="Arial" w:eastAsia="Arial"/>
          <w:color w:val="5A6478"/>
          <w:sz w:val="17"/>
          <w:szCs w:val="17"/>
          <w:rtl/>
        </w:rPr>
        <w:t>2.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3. خطأ التتبع هو مقياس للمخاطر ويتم حسابه على أنه الانحراف المعياري بين عائد مدير الصندوق وعائد المؤشر. وكلما انخفض خطأ التتبع، كلما انحرف مدير الصندوق عن المؤشر.</w:t>
      </w:r>
      <w:r>
        <w:br/>
      </w:r>
      <w:r>
        <w:rPr>
          <w:rFonts w:ascii="Arial" w:hAnsi="Arial" w:cs="Arial" w:eastAsia="Arial"/>
          <w:color w:val="5A6478"/>
          <w:sz w:val="17"/>
          <w:szCs w:val="17"/>
          <w:rtl/>
        </w:rPr>
        <w:t>4.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5. ألفا يقيس أي تفوق حققه أداء الصندوق مقارنةً بأداء المؤشر المرتبط به.</w:t>
      </w:r>
      <w:r>
        <w:br/>
      </w:r>
      <w:r>
        <w:rPr>
          <w:rFonts w:ascii="Arial" w:hAnsi="Arial" w:cs="Arial" w:eastAsia="Arial"/>
          <w:color w:val="5A6478"/>
          <w:sz w:val="17"/>
          <w:szCs w:val="17"/>
          <w:rtl/>
        </w:rPr>
        <w:t>6. مؤشر المعلومات هو عبارة عن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 تم احتساب معايير الأداء والمخاطر بناءً على صافي قيمة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9"/>
            <wp:cNvGraphicFramePr>
              <a:graphicFrameLocks noChangeAspect="1"/>
            </wp:cNvGraphicFramePr>
            <a:graphic>
              <a:graphicData uri="http://schemas.openxmlformats.org/drawingml/2006/picture">
                <pic:pic>
                  <pic:nvPicPr>
                    <pic:cNvPr id="0" name="ico_c788ceab6c6867ef93d8dd6b26beef99.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 xml:space="preserve">وافق مالكو الوحدات خلال اجتماع الجمعية العمومية المنعقد في 19 يوليو 2023م على توصية مدير الصندوق بإعادة شراء ما يصل إلى </w:t>
      </w:r>
      <w:r>
        <w:rPr>
          <w:rFonts w:ascii="Arial" w:hAnsi="Arial" w:cs="Arial" w:eastAsia="Arial"/>
          <w:color w:val="0E1E3A"/>
          <w:sz w:val="20"/>
          <w:szCs w:val="20"/>
        </w:rPr>
        <w:t>‎50%‎</w:t>
      </w:r>
      <w:r>
        <w:rPr>
          <w:rFonts w:ascii="Arial" w:hAnsi="Arial" w:cs="Arial" w:eastAsia="Arial"/>
          <w:color w:val="0E1E3A"/>
          <w:sz w:val="20"/>
          <w:szCs w:val="20"/>
          <w:rtl/>
        </w:rPr>
        <w:t xml:space="preserve"> من مجموع الوحدات المتداولة بغرض إلغائها.</w:t>
      </w:r>
    </w:p>
    <w:p>
      <w:pPr>
        <w:bidi w:val="1"/>
        <w:spacing w:before="0" w:after="80" w:line="312" w:lineRule="auto"/>
      </w:pPr>
      <w:r>
        <w:rPr>
          <w:rFonts w:ascii="Arial" w:hAnsi="Arial" w:cs="Arial" w:eastAsia="Arial"/>
          <w:color w:val="0E1E3A"/>
          <w:sz w:val="20"/>
          <w:szCs w:val="20"/>
          <w:rtl/>
        </w:rPr>
        <w:t xml:space="preserve">كما في 30 يونيو 2024م، استطاع مدير الصندوق إعادة شراء ما مجموعه 29,475,700 وحدة، أو ما يعادل </w:t>
      </w:r>
      <w:r>
        <w:rPr>
          <w:rFonts w:ascii="Arial" w:hAnsi="Arial" w:cs="Arial" w:eastAsia="Arial"/>
          <w:color w:val="0E1E3A"/>
          <w:sz w:val="20"/>
          <w:szCs w:val="20"/>
        </w:rPr>
        <w:t>‎29.48%‎</w:t>
      </w:r>
      <w:r>
        <w:rPr>
          <w:rFonts w:ascii="Arial" w:hAnsi="Arial" w:cs="Arial" w:eastAsia="Arial"/>
          <w:color w:val="0E1E3A"/>
          <w:sz w:val="20"/>
          <w:szCs w:val="20"/>
          <w:rtl/>
        </w:rPr>
        <w:t xml:space="preserve"> من مجموع عدد وحدات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6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الأسواق العالمية</w:t>
      </w:r>
    </w:p>
    <w:p>
      <w:pPr>
        <w:bidi w:val="1"/>
        <w:spacing w:before="0" w:after="80" w:line="312" w:lineRule="auto"/>
      </w:pPr>
      <w:r>
        <w:rPr>
          <w:rFonts w:ascii="Arial" w:hAnsi="Arial" w:cs="Arial" w:eastAsia="Arial"/>
          <w:color w:val="0E1E3A"/>
          <w:sz w:val="20"/>
          <w:szCs w:val="20"/>
          <w:rtl/>
        </w:rPr>
        <w:t xml:space="preserve">في الربع الثاني من العام 2024م، شهدت أسواق الأسهم العالمية نموًا معتدلاً في ظل تحسن الأوضاع الاقتصادية وتراجع الضغوط التضخمية. وقد ساهم نهج الاحتياطي الفيدرالي الأمريكي الحذر في السياسة النقدية، بالإضافة إلى تقارير الأرباح الإيجابية للشركات، في تخفيف المخاوف من ركود وشيك. ونتيجة لذلك، سجلت المؤشرات الرئيسية مكاسب، حيث ارتفع مؤشر "الخبير للأسهم العالمية" بنسبة </w:t>
      </w:r>
      <w:r>
        <w:rPr>
          <w:rFonts w:ascii="Arial" w:hAnsi="Arial" w:cs="Arial" w:eastAsia="Arial"/>
          <w:color w:val="0E1E3A"/>
          <w:sz w:val="20"/>
          <w:szCs w:val="20"/>
        </w:rPr>
        <w:t>‎4.40%‎</w:t>
      </w:r>
      <w:r>
        <w:rPr>
          <w:rFonts w:ascii="Arial" w:hAnsi="Arial" w:cs="Arial" w:eastAsia="Arial"/>
          <w:color w:val="0E1E3A"/>
          <w:sz w:val="20"/>
          <w:szCs w:val="20"/>
          <w:rtl/>
        </w:rPr>
        <w:t xml:space="preserve"> في الربع الثاني من العام 2024م وبنسبة </w:t>
      </w:r>
      <w:r>
        <w:rPr>
          <w:rFonts w:ascii="Arial" w:hAnsi="Arial" w:cs="Arial" w:eastAsia="Arial"/>
          <w:color w:val="0E1E3A"/>
          <w:sz w:val="20"/>
          <w:szCs w:val="20"/>
        </w:rPr>
        <w:t>‎11.24%‎</w:t>
      </w:r>
      <w:r>
        <w:rPr>
          <w:rFonts w:ascii="Arial" w:hAnsi="Arial" w:cs="Arial" w:eastAsia="Arial"/>
          <w:color w:val="0E1E3A"/>
          <w:sz w:val="20"/>
          <w:szCs w:val="20"/>
          <w:rtl/>
        </w:rPr>
        <w:t xml:space="preserve"> منذ بداية العام.</w:t>
      </w:r>
    </w:p>
    <w:p>
      <w:pPr>
        <w:bidi w:val="1"/>
        <w:spacing w:before="0" w:after="80" w:line="312" w:lineRule="auto"/>
      </w:pPr>
      <w:r>
        <w:rPr>
          <w:rFonts w:ascii="Arial" w:hAnsi="Arial" w:cs="Arial" w:eastAsia="Arial"/>
          <w:color w:val="0E1E3A"/>
          <w:sz w:val="20"/>
          <w:szCs w:val="20"/>
          <w:rtl/>
        </w:rPr>
        <w:t xml:space="preserve">وكانت أحدث التوقعات لصندوق النقد الدولي للاقتصاد العالمي في أبريل 2024م تشير برفع توقعات نمو الناتج المحلي الإجمالي العالمي للعام 2024م إلى </w:t>
      </w:r>
      <w:r>
        <w:rPr>
          <w:rFonts w:ascii="Arial" w:hAnsi="Arial" w:cs="Arial" w:eastAsia="Arial"/>
          <w:color w:val="0E1E3A"/>
          <w:sz w:val="20"/>
          <w:szCs w:val="20"/>
        </w:rPr>
        <w:t>‎3.2%‎</w:t>
      </w:r>
      <w:r>
        <w:rPr>
          <w:rFonts w:ascii="Arial" w:hAnsi="Arial" w:cs="Arial" w:eastAsia="Arial"/>
          <w:color w:val="0E1E3A"/>
          <w:sz w:val="20"/>
          <w:szCs w:val="20"/>
          <w:rtl/>
        </w:rPr>
        <w:t xml:space="preserve">، مدفوعة بمرونة أكبر من المتوقع في اقتصاد الولايات المتحدة والعديد من اقتصادات الأسواق الناشئة الكبيرة، بالإضافة إلى استمرار الدعم المالي في الصين. ومن المتوقع أن تنمو الأسواق المتقدمة بنسبة </w:t>
      </w:r>
      <w:r>
        <w:rPr>
          <w:rFonts w:ascii="Arial" w:hAnsi="Arial" w:cs="Arial" w:eastAsia="Arial"/>
          <w:color w:val="0E1E3A"/>
          <w:sz w:val="20"/>
          <w:szCs w:val="20"/>
        </w:rPr>
        <w:t>‎1.7%‎</w:t>
      </w:r>
      <w:r>
        <w:rPr>
          <w:rFonts w:ascii="Arial" w:hAnsi="Arial" w:cs="Arial" w:eastAsia="Arial"/>
          <w:color w:val="0E1E3A"/>
          <w:sz w:val="20"/>
          <w:szCs w:val="20"/>
          <w:rtl/>
        </w:rPr>
        <w:t xml:space="preserve"> في العام 2024م، بينما يُتوقع أن تشهد الأسواق الناشئة نموًا بنسبة </w:t>
      </w:r>
      <w:r>
        <w:rPr>
          <w:rFonts w:ascii="Arial" w:hAnsi="Arial" w:cs="Arial" w:eastAsia="Arial"/>
          <w:color w:val="0E1E3A"/>
          <w:sz w:val="20"/>
          <w:szCs w:val="20"/>
        </w:rPr>
        <w:t>‎4.2%‎</w:t>
      </w:r>
      <w:r>
        <w:rPr>
          <w:rFonts w:ascii="Arial" w:hAnsi="Arial" w:cs="Arial" w:eastAsia="Arial"/>
          <w:color w:val="0E1E3A"/>
          <w:sz w:val="20"/>
          <w:szCs w:val="20"/>
          <w:rtl/>
        </w:rPr>
        <w:t xml:space="preserve"> في العام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6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الوحدة للصندوق مقارنة مع المؤشر الاسترشادي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87027"/>
            <wp:docPr id="28" name="Picture 9062"/>
            <wp:cNvGraphicFramePr>
              <a:graphicFrameLocks noChangeAspect="1"/>
            </wp:cNvGraphicFramePr>
            <a:graphic>
              <a:graphicData uri="http://schemas.openxmlformats.org/drawingml/2006/picture">
                <pic:pic>
                  <pic:nvPicPr>
                    <pic:cNvPr id="0" name="x7.j.jpg"/>
                    <pic:cNvPicPr/>
                  </pic:nvPicPr>
                  <pic:blipFill>
                    <a:blip r:embed="rId25"/>
                    <a:stretch>
                      <a:fillRect/>
                    </a:stretch>
                  </pic:blipFill>
                  <pic:spPr>
                    <a:xfrm>
                      <a:off x="0" y="0"/>
                      <a:ext cx="6336000" cy="3187027"/>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30 يونيو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9" name="Picture 9063"/>
            <wp:cNvGraphicFramePr>
              <a:graphicFrameLocks noChangeAspect="1"/>
            </wp:cNvGraphicFramePr>
            <a:graphic>
              <a:graphicData uri="http://schemas.openxmlformats.org/drawingml/2006/picture">
                <pic:pic>
                  <pic:nvPicPr>
                    <pic:cNvPr id="0" name="ico_8eba3796ad497c7a142d47da7c90fea0.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0" name="Picture 9064"/>
            <wp:cNvGraphicFramePr>
              <a:graphicFrameLocks noChangeAspect="1"/>
            </wp:cNvGraphicFramePr>
            <a:graphic>
              <a:graphicData uri="http://schemas.openxmlformats.org/drawingml/2006/picture">
                <pic:pic>
                  <pic:nvPicPr>
                    <pic:cNvPr id="0" name="ico_31799530e5dd3dc5b4ca7f2d37945432.png"/>
                    <pic:cNvPicPr/>
                  </pic:nvPicPr>
                  <pic:blipFill>
                    <a:blip r:embed="rId2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jp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الثاني 2024م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