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5"/>
            <wp:cNvGraphicFramePr/>
            <a:graphic>
              <a:graphicData uri="http://schemas.openxmlformats.org/drawingml/2006/picture">
                <pic:pic>
                  <pic:nvPicPr>
                    <pic:cNvPr id="9035" name="banner903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12.1372</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 *</w:t>
            </w:r>
          </w:p>
        </w:tc>
        <w:tc>
          <w:tcPr>
            <w:tcW w:type="dxa" w:w="6860"/>
          </w:tcPr>
          <w:p>
            <w:pPr>
              <w:spacing w:before="0" w:after="0" w:line="276" w:lineRule="auto"/>
            </w:pPr>
            <w:r>
              <w:rPr>
                <w:rFonts w:ascii="Arial" w:hAnsi="Arial" w:cs="Arial" w:eastAsia="Arial"/>
                <w:b/>
                <w:bCs/>
                <w:color w:val="0E1E3A"/>
                <w:sz w:val="18"/>
                <w:szCs w:val="18"/>
              </w:rPr>
              <w:t>SAR 860,522,743</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 **</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 *</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 *</w:t>
            </w:r>
          </w:p>
        </w:tc>
        <w:tc>
          <w:tcPr>
            <w:tcW w:type="dxa" w:w="6860"/>
          </w:tcPr>
          <w:p>
            <w:pPr>
              <w:spacing w:before="0" w:after="0" w:line="276" w:lineRule="auto"/>
            </w:pPr>
            <w:r>
              <w:rPr>
                <w:rFonts w:ascii="Arial" w:hAnsi="Arial" w:cs="Arial" w:eastAsia="Arial"/>
                <w:b/>
                <w:bCs/>
                <w:color w:val="0E1E3A"/>
                <w:sz w:val="18"/>
                <w:szCs w:val="18"/>
              </w:rPr>
              <w:t>SAR 860,522,743</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 *</w:t>
            </w:r>
          </w:p>
        </w:tc>
        <w:tc>
          <w:tcPr>
            <w:tcW w:type="dxa" w:w="6860"/>
          </w:tcPr>
          <w:p>
            <w:pPr>
              <w:spacing w:before="0" w:after="0" w:line="276" w:lineRule="auto"/>
            </w:pPr>
            <w:r>
              <w:rPr>
                <w:rFonts w:ascii="Arial" w:hAnsi="Arial" w:cs="Arial" w:eastAsia="Arial"/>
                <w:b/>
                <w:bCs/>
                <w:color w:val="0E1E3A"/>
                <w:sz w:val="18"/>
                <w:szCs w:val="18"/>
              </w:rPr>
              <w:t>SAR 855,968,472</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340,969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 ****</w:t>
            </w:r>
          </w:p>
        </w:tc>
        <w:tc>
          <w:tcPr>
            <w:tcW w:type="dxa" w:w="6860"/>
          </w:tcPr>
          <w:p>
            <w:pPr>
              <w:spacing w:before="0" w:after="0" w:line="276" w:lineRule="auto"/>
            </w:pPr>
            <w:r>
              <w:rPr>
                <w:rFonts w:ascii="Arial" w:hAnsi="Arial" w:cs="Arial" w:eastAsia="Arial"/>
                <w:b/>
                <w:bCs/>
                <w:color w:val="0E1E3A"/>
                <w:sz w:val="18"/>
                <w:szCs w:val="18"/>
              </w:rPr>
              <w:t>0.040%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 ***</w:t>
            </w:r>
          </w:p>
        </w:tc>
        <w:tc>
          <w:tcPr>
            <w:tcW w:type="dxa" w:w="6860"/>
          </w:tcPr>
          <w:p>
            <w:pPr>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2,899,555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 **</w:t>
            </w:r>
          </w:p>
        </w:tc>
        <w:tc>
          <w:tcPr>
            <w:tcW w:type="dxa" w:w="6860"/>
          </w:tcPr>
          <w:p>
            <w:pPr>
              <w:spacing w:before="0" w:after="0" w:line="276" w:lineRule="auto"/>
            </w:pPr>
            <w:r>
              <w:rPr>
                <w:rFonts w:ascii="Arial" w:hAnsi="Arial" w:cs="Arial" w:eastAsia="Arial"/>
                <w:b/>
                <w:bCs/>
                <w:color w:val="0E1E3A"/>
                <w:sz w:val="18"/>
                <w:szCs w:val="18"/>
              </w:rPr>
              <w:t>0.35%</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2024 (Unaudited).</w:t>
      </w:r>
      <w:r>
        <w:br/>
      </w:r>
      <w:r>
        <w:rPr>
          <w:rFonts w:ascii="Arial" w:hAnsi="Arial" w:cs="Arial" w:eastAsia="Arial"/>
          <w:color w:val="5A6478"/>
          <w:sz w:val="17"/>
          <w:szCs w:val="17"/>
        </w:rPr>
        <w:t>** Fund's expenses and fees are total Fund expenses during the reporting quarter, excluding</w:t>
      </w:r>
      <w:r>
        <w:br/>
      </w:r>
      <w:r>
        <w:rPr>
          <w:rFonts w:ascii="Arial" w:hAnsi="Arial" w:cs="Arial" w:eastAsia="Arial"/>
          <w:color w:val="5A6478"/>
          <w:sz w:val="17"/>
          <w:szCs w:val="17"/>
        </w:rPr>
        <w:t>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833,598,639.</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4"/>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644757"/>
            <wp:docPr id="12" name="Picture 9046"/>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644757"/>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818,322,409</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37,646,063</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5" name="Picture 9049"/>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 (27 APRIL 2022)</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 *</w:t>
            </w:r>
          </w:p>
        </w:tc>
        <w:tc>
          <w:tcPr>
            <w:tcW w:type="dxa" w:w="6860"/>
          </w:tcPr>
          <w:p>
            <w:pPr>
              <w:spacing w:before="0" w:after="0" w:line="276" w:lineRule="auto"/>
            </w:pPr>
            <w:r>
              <w:rPr>
                <w:rFonts w:ascii="Arial" w:hAnsi="Arial" w:cs="Arial" w:eastAsia="Arial"/>
                <w:b/>
                <w:bCs/>
                <w:color w:val="0E1E3A"/>
                <w:sz w:val="18"/>
                <w:szCs w:val="18"/>
              </w:rPr>
              <w:t>SAR 654,189,890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 **</w:t>
            </w:r>
          </w:p>
        </w:tc>
        <w:tc>
          <w:tcPr>
            <w:tcW w:type="dxa" w:w="6860"/>
          </w:tcPr>
          <w:p>
            <w:pPr>
              <w:spacing w:before="0" w:after="0" w:line="276" w:lineRule="auto"/>
            </w:pPr>
            <w:r>
              <w:rPr>
                <w:rFonts w:ascii="Arial" w:hAnsi="Arial" w:cs="Arial" w:eastAsia="Arial"/>
                <w:b/>
                <w:bCs/>
                <w:color w:val="0E1E3A"/>
                <w:sz w:val="18"/>
                <w:szCs w:val="18"/>
              </w:rPr>
              <w:t>SAR 633,808,698</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 ***</w:t>
            </w:r>
          </w:p>
        </w:tc>
        <w:tc>
          <w:tcPr>
            <w:tcW w:type="dxa" w:w="6860"/>
          </w:tcPr>
          <w:p>
            <w:pPr>
              <w:spacing w:before="0" w:after="0" w:line="276" w:lineRule="auto"/>
            </w:pPr>
            <w:r>
              <w:rPr>
                <w:rFonts w:ascii="Arial" w:hAnsi="Arial" w:cs="Arial" w:eastAsia="Arial"/>
                <w:b/>
                <w:bCs/>
                <w:color w:val="0E1E3A"/>
                <w:sz w:val="18"/>
                <w:szCs w:val="18"/>
              </w:rPr>
              <w:t>SAR 642,402,714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 ****</w:t>
            </w:r>
          </w:p>
        </w:tc>
        <w:tc>
          <w:tcPr>
            <w:tcW w:type="dxa" w:w="6860"/>
          </w:tcPr>
          <w:p>
            <w:pPr>
              <w:spacing w:before="0" w:after="0" w:line="276" w:lineRule="auto"/>
            </w:pPr>
            <w:r>
              <w:rPr>
                <w:rFonts w:ascii="Arial" w:hAnsi="Arial" w:cs="Arial" w:eastAsia="Arial"/>
                <w:b/>
                <w:bCs/>
                <w:color w:val="0E1E3A"/>
                <w:sz w:val="18"/>
                <w:szCs w:val="18"/>
              </w:rPr>
              <w:t>SAR 621,319,083</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28 September 2023.</w:t>
      </w:r>
      <w:r>
        <w:br/>
      </w:r>
      <w:r>
        <w:rPr>
          <w:rFonts w:ascii="Arial" w:hAnsi="Arial" w:cs="Arial" w:eastAsia="Arial"/>
          <w:color w:val="5A6478"/>
          <w:sz w:val="17"/>
          <w:szCs w:val="17"/>
        </w:rPr>
        <w:t>** Excluding Units bought back by the Fund for cancellation (28,383,198 Units) as at 31 December 2023.</w:t>
      </w:r>
      <w:r>
        <w:br/>
      </w:r>
      <w:r>
        <w:rPr>
          <w:rFonts w:ascii="Arial" w:hAnsi="Arial" w:cs="Arial" w:eastAsia="Arial"/>
          <w:color w:val="5A6478"/>
          <w:sz w:val="17"/>
          <w:szCs w:val="17"/>
        </w:rPr>
        <w:t>*** Excluding Units bought back by the Fund for cancellation (28,383,198 Units) as at 31 March 2024</w:t>
      </w:r>
      <w:r>
        <w:br/>
      </w:r>
      <w:r>
        <w:rPr>
          <w:rFonts w:ascii="Arial" w:hAnsi="Arial" w:cs="Arial" w:eastAsia="Arial"/>
          <w:color w:val="5A6478"/>
          <w:sz w:val="17"/>
          <w:szCs w:val="17"/>
        </w:rPr>
        <w:t>*** Excluding Units bought back by the Fund for cancellation (29,475,700 Units) as at 30 June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2024)</w:t>
            </w:r>
          </w:p>
        </w:tc>
        <w:tc>
          <w:tcPr>
            <w:tcW w:type="dxa" w:w="6860"/>
          </w:tcPr>
          <w:p>
            <w:pPr>
              <w:spacing w:before="0" w:after="0" w:line="276" w:lineRule="auto"/>
            </w:pPr>
            <w:r>
              <w:rPr>
                <w:rFonts w:ascii="Arial" w:hAnsi="Arial" w:cs="Arial" w:eastAsia="Arial"/>
                <w:b/>
                <w:bCs/>
                <w:color w:val="0E1E3A"/>
                <w:sz w:val="18"/>
                <w:szCs w:val="18"/>
              </w:rPr>
              <w:t>SAR 8.81</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(31 MARCH 2024 TO 30 JUNE 2024)</w:t>
            </w:r>
          </w:p>
        </w:tc>
        <w:tc>
          <w:tcPr>
            <w:tcW w:type="dxa" w:w="6860"/>
          </w:tcPr>
          <w:p>
            <w:pPr>
              <w:spacing w:before="0" w:after="0" w:line="276" w:lineRule="auto"/>
            </w:pPr>
            <w:r>
              <w:rPr>
                <w:rFonts w:ascii="Arial" w:hAnsi="Arial" w:cs="Arial" w:eastAsia="Arial"/>
                <w:b/>
                <w:bCs/>
                <w:color w:val="0E1E3A"/>
                <w:sz w:val="18"/>
                <w:szCs w:val="18"/>
              </w:rPr>
              <w:t>-1.78%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2024)</w:t>
            </w:r>
          </w:p>
        </w:tc>
        <w:tc>
          <w:tcPr>
            <w:tcW w:type="dxa" w:w="6860"/>
          </w:tcPr>
          <w:p>
            <w:pPr>
              <w:spacing w:before="0" w:after="0" w:line="276" w:lineRule="auto"/>
            </w:pPr>
            <w:r>
              <w:rPr>
                <w:rFonts w:ascii="Arial" w:hAnsi="Arial" w:cs="Arial" w:eastAsia="Arial"/>
                <w:b/>
                <w:bCs/>
                <w:color w:val="0E1E3A"/>
                <w:sz w:val="18"/>
                <w:szCs w:val="18"/>
              </w:rPr>
              <w:t>-11.90%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Q2 2024)</w:t>
            </w:r>
          </w:p>
        </w:tc>
        <w:tc>
          <w:tcPr>
            <w:tcW w:type="dxa" w:w="6860"/>
          </w:tcPr>
          <w:p>
            <w:pPr>
              <w:spacing w:before="0" w:after="0" w:line="276" w:lineRule="auto"/>
            </w:pPr>
            <w:r>
              <w:rPr>
                <w:rFonts w:ascii="Arial" w:hAnsi="Arial" w:cs="Arial" w:eastAsia="Arial"/>
                <w:b/>
                <w:bCs/>
                <w:color w:val="0E1E3A"/>
                <w:sz w:val="18"/>
                <w:szCs w:val="18"/>
              </w:rPr>
              <w:t>0.58%</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9.97</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8.07</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30 JUNE 2024) *</w:t>
            </w:r>
          </w:p>
        </w:tc>
        <w:tc>
          <w:tcPr>
            <w:tcW w:type="dxa" w:w="6860"/>
          </w:tcPr>
          <w:p>
            <w:pPr>
              <w:spacing w:before="0" w:after="0" w:line="276" w:lineRule="auto"/>
            </w:pPr>
            <w:r>
              <w:rPr>
                <w:rFonts w:ascii="Arial" w:hAnsi="Arial" w:cs="Arial" w:eastAsia="Arial"/>
                <w:b/>
                <w:bCs/>
                <w:color w:val="0E1E3A"/>
                <w:sz w:val="18"/>
                <w:szCs w:val="18"/>
              </w:rPr>
              <w:t>70,524,300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0.185</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13,249,108</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0.185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1.85%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2.10%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3,506,561</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3,219,011</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 ON THE FUND'S INVESTMENTS</w:t>
            </w:r>
          </w:p>
        </w:tc>
        <w:tc>
          <w:tcPr>
            <w:tcW w:type="dxa" w:w="6860"/>
          </w:tcPr>
          <w:p>
            <w:pPr>
              <w:spacing w:before="0" w:after="0" w:line="276" w:lineRule="auto"/>
            </w:pPr>
            <w:r>
              <w:rPr>
                <w:rFonts w:ascii="Arial" w:hAnsi="Arial" w:cs="Arial" w:eastAsia="Arial"/>
                <w:b/>
                <w:bCs/>
                <w:color w:val="0E1E3A"/>
                <w:sz w:val="18"/>
                <w:szCs w:val="18"/>
              </w:rPr>
              <w:t>SAR 33,485,026</w:t>
            </w:r>
          </w:p>
        </w:tc>
      </w:tr>
      <w:tr>
        <w:tc>
          <w:tcPr>
            <w:tcW w:type="dxa" w:w="3118"/>
            <w:shd w:val="clear" w:color="auto" w:fill="F3F6FB"/>
          </w:tcPr>
          <w:p>
            <w:pPr>
              <w:spacing w:before="0" w:after="0" w:line="276" w:lineRule="auto"/>
            </w:pPr>
            <w:r>
              <w:rPr>
                <w:rFonts w:ascii="Arial" w:hAnsi="Arial" w:cs="Arial" w:eastAsia="Arial"/>
                <w:color w:val="5A6478"/>
                <w:sz w:val="18"/>
                <w:szCs w:val="18"/>
              </w:rPr>
              <w:t>LOSS FROM FOREIGN CURRENCY RATE DIFFERENCES</w:t>
            </w:r>
          </w:p>
        </w:tc>
        <w:tc>
          <w:tcPr>
            <w:tcW w:type="dxa" w:w="6860"/>
          </w:tcPr>
          <w:p>
            <w:pPr>
              <w:spacing w:before="0" w:after="0" w:line="276" w:lineRule="auto"/>
            </w:pPr>
            <w:r>
              <w:rPr>
                <w:rFonts w:ascii="Arial" w:hAnsi="Arial" w:cs="Arial" w:eastAsia="Arial"/>
                <w:b/>
                <w:bCs/>
                <w:color w:val="0E1E3A"/>
                <w:sz w:val="18"/>
                <w:szCs w:val="18"/>
              </w:rPr>
              <w:t>SAR (338,457)</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39,872,140</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30 JUNE 2024</w:t>
            </w:r>
          </w:p>
        </w:tc>
        <w:tc>
          <w:tcPr>
            <w:tcW w:type="dxa" w:w="6860"/>
          </w:tcPr>
          <w:p>
            <w:pPr>
              <w:spacing w:before="0" w:after="0" w:line="276" w:lineRule="auto"/>
            </w:pPr>
            <w:r>
              <w:rPr>
                <w:rFonts w:ascii="Arial" w:hAnsi="Arial" w:cs="Arial" w:eastAsia="Arial"/>
                <w:b/>
                <w:bCs/>
                <w:color w:val="0E1E3A"/>
                <w:sz w:val="18"/>
                <w:szCs w:val="18"/>
              </w:rPr>
              <w:t>6.42%</w:t>
            </w:r>
          </w:p>
        </w:tc>
      </w:tr>
    </w:tbl>
    <w:p>
      <w:pPr>
        <w:spacing w:before="0" w:after="40" w:line="300" w:lineRule="auto"/>
      </w:pPr>
    </w:p>
    <w:p>
      <w:pPr>
        <w:spacing w:before="0" w:after="80" w:line="312" w:lineRule="auto"/>
      </w:pPr>
      <w:r>
        <w:rPr>
          <w:rFonts w:ascii="Arial" w:hAnsi="Arial" w:cs="Arial" w:eastAsia="Arial"/>
          <w:color w:val="5A6478"/>
          <w:sz w:val="17"/>
          <w:szCs w:val="17"/>
        </w:rPr>
        <w:t>* Number of Units as at the dividend distribution date was 71,616,802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34.63%</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23.82x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11.7473</w:t>
            </w:r>
          </w:p>
        </w:tc>
        <w:tc>
          <w:tcPr>
            <w:tcW w:type="dxa" w:w="3326"/>
          </w:tcPr>
          <w:p>
            <w:pPr>
              <w:spacing w:before="0" w:after="0" w:line="264" w:lineRule="auto"/>
            </w:pPr>
            <w:r>
              <w:rPr>
                <w:rFonts w:ascii="Arial" w:hAnsi="Arial" w:cs="Arial" w:eastAsia="Arial"/>
                <w:color w:val="0E1E3A"/>
                <w:sz w:val="17"/>
                <w:szCs w:val="17"/>
              </w:rPr>
              <w:t>114.0263</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12.1372</w:t>
            </w:r>
          </w:p>
        </w:tc>
        <w:tc>
          <w:tcPr>
            <w:tcW w:type="dxa" w:w="3326"/>
          </w:tcPr>
          <w:p>
            <w:pPr>
              <w:spacing w:before="0" w:after="0" w:line="264" w:lineRule="auto"/>
            </w:pPr>
            <w:r>
              <w:rPr>
                <w:rFonts w:ascii="Arial" w:hAnsi="Arial" w:cs="Arial" w:eastAsia="Arial"/>
                <w:color w:val="0E1E3A"/>
                <w:sz w:val="17"/>
                <w:szCs w:val="17"/>
              </w:rPr>
              <w:t>119.0440</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3.32%</w:t>
            </w:r>
          </w:p>
        </w:tc>
        <w:tc>
          <w:tcPr>
            <w:tcW w:type="dxa" w:w="3326"/>
          </w:tcPr>
          <w:p>
            <w:pPr>
              <w:spacing w:before="0" w:after="0" w:line="264" w:lineRule="auto"/>
            </w:pPr>
            <w:r>
              <w:rPr>
                <w:rFonts w:ascii="Arial" w:hAnsi="Arial" w:cs="Arial" w:eastAsia="Arial"/>
                <w:color w:val="0E1E3A"/>
                <w:sz w:val="17"/>
                <w:szCs w:val="17"/>
              </w:rPr>
              <w:t>4.40%</w:t>
            </w:r>
          </w:p>
        </w:tc>
      </w:tr>
    </w:tbl>
    <w:p>
      <w:pPr>
        <w:spacing w:before="0" w:after="40" w:line="300" w:lineRule="auto"/>
      </w:pPr>
    </w:p>
    <w:p>
      <w:pPr>
        <w:spacing w:before="0" w:after="80" w:line="312" w:lineRule="auto"/>
      </w:pPr>
      <w:r>
        <w:rPr>
          <w:rFonts w:ascii="Arial" w:hAnsi="Arial" w:cs="Arial" w:eastAsia="Arial"/>
          <w:color w:val="5A6478"/>
          <w:sz w:val="17"/>
          <w:szCs w:val="17"/>
        </w:rPr>
        <w:t>NAV/Unit excluding dividend distributions for the specified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 YEAR TO DATE (YTD)** ONE YEAR***</w:t>
            </w:r>
          </w:p>
        </w:tc>
        <w:tc>
          <w:tcPr>
            <w:tcW w:type="dxa" w:w="1663"/>
            <w:shd w:val="clear" w:color="auto" w:fill="12284B"/>
          </w:tcPr>
          <w:p>
            <w:pPr>
              <w:spacing w:before="0" w:after="0" w:line="264" w:lineRule="auto"/>
            </w:pP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 *</w:t>
            </w:r>
          </w:p>
        </w:tc>
        <w:tc>
          <w:tcPr>
            <w:tcW w:type="dxa" w:w="1663"/>
          </w:tcPr>
          <w:p>
            <w:pPr>
              <w:spacing w:before="0" w:after="0" w:line="264" w:lineRule="auto"/>
            </w:pPr>
            <w:r>
              <w:rPr>
                <w:rFonts w:ascii="Arial" w:hAnsi="Arial" w:cs="Arial" w:eastAsia="Arial"/>
                <w:color w:val="0E1E3A"/>
                <w:sz w:val="17"/>
                <w:szCs w:val="17"/>
              </w:rPr>
              <w:t>5.00%</w:t>
            </w:r>
          </w:p>
        </w:tc>
        <w:tc>
          <w:tcPr>
            <w:tcW w:type="dxa" w:w="1663"/>
          </w:tcPr>
          <w:p>
            <w:pPr>
              <w:spacing w:before="0" w:after="0" w:line="264" w:lineRule="auto"/>
            </w:pPr>
            <w:r>
              <w:rPr>
                <w:rFonts w:ascii="Arial" w:hAnsi="Arial" w:cs="Arial" w:eastAsia="Arial"/>
                <w:color w:val="0E1E3A"/>
                <w:sz w:val="17"/>
                <w:szCs w:val="17"/>
              </w:rPr>
              <w:t>11.39%</w:t>
            </w:r>
          </w:p>
        </w:tc>
        <w:tc>
          <w:tcPr>
            <w:tcW w:type="dxa" w:w="1663"/>
          </w:tcPr>
          <w:p>
            <w:pPr>
              <w:spacing w:before="0" w:after="0" w:line="264" w:lineRule="auto"/>
            </w:pPr>
            <w:r>
              <w:rPr>
                <w:rFonts w:ascii="Arial" w:hAnsi="Arial" w:cs="Arial" w:eastAsia="Arial"/>
                <w:color w:val="0E1E3A"/>
                <w:sz w:val="17"/>
                <w:szCs w:val="17"/>
              </w:rPr>
              <w:t>21.43%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4.40%</w:t>
            </w:r>
          </w:p>
        </w:tc>
        <w:tc>
          <w:tcPr>
            <w:tcW w:type="dxa" w:w="1663"/>
          </w:tcPr>
          <w:p>
            <w:pPr>
              <w:spacing w:before="0" w:after="0" w:line="264" w:lineRule="auto"/>
            </w:pPr>
            <w:r>
              <w:rPr>
                <w:rFonts w:ascii="Arial" w:hAnsi="Arial" w:cs="Arial" w:eastAsia="Arial"/>
                <w:color w:val="0E1E3A"/>
                <w:sz w:val="17"/>
                <w:szCs w:val="17"/>
              </w:rPr>
              <w:t>11.24%</w:t>
            </w:r>
          </w:p>
        </w:tc>
        <w:tc>
          <w:tcPr>
            <w:tcW w:type="dxa" w:w="1663"/>
          </w:tcPr>
          <w:p>
            <w:pPr>
              <w:spacing w:before="0" w:after="0" w:line="264" w:lineRule="auto"/>
            </w:pPr>
            <w:r>
              <w:rPr>
                <w:rFonts w:ascii="Arial" w:hAnsi="Arial" w:cs="Arial" w:eastAsia="Arial"/>
                <w:color w:val="0E1E3A"/>
                <w:sz w:val="17"/>
                <w:szCs w:val="17"/>
              </w:rPr>
              <w:t>15.18%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0.60%</w:t>
            </w:r>
          </w:p>
        </w:tc>
        <w:tc>
          <w:tcPr>
            <w:tcW w:type="dxa" w:w="1663"/>
          </w:tcPr>
          <w:p>
            <w:pPr>
              <w:spacing w:before="0" w:after="0" w:line="264" w:lineRule="auto"/>
            </w:pPr>
            <w:r>
              <w:rPr>
                <w:rFonts w:ascii="Arial" w:hAnsi="Arial" w:cs="Arial" w:eastAsia="Arial"/>
                <w:color w:val="0E1E3A"/>
                <w:sz w:val="17"/>
                <w:szCs w:val="17"/>
              </w:rPr>
              <w:t>0.15%</w:t>
            </w:r>
          </w:p>
        </w:tc>
        <w:tc>
          <w:tcPr>
            <w:tcW w:type="dxa" w:w="1663"/>
          </w:tcPr>
          <w:p>
            <w:pPr>
              <w:spacing w:before="0" w:after="0" w:line="264" w:lineRule="auto"/>
            </w:pPr>
            <w:r>
              <w:rPr>
                <w:rFonts w:ascii="Arial" w:hAnsi="Arial" w:cs="Arial" w:eastAsia="Arial"/>
                <w:color w:val="0E1E3A"/>
                <w:sz w:val="17"/>
                <w:szCs w:val="17"/>
              </w:rPr>
              <w:t>6.25%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 (Including dividend distributions of SAR 0.185 during the second quarter).</w:t>
      </w:r>
      <w:r>
        <w:br/>
      </w:r>
      <w:r>
        <w:rPr>
          <w:rFonts w:ascii="Arial" w:hAnsi="Arial" w:cs="Arial" w:eastAsia="Arial"/>
          <w:color w:val="5A6478"/>
          <w:sz w:val="17"/>
          <w:szCs w:val="17"/>
        </w:rPr>
        <w:t>** For the period from 31 December 2023 to 30 June 2024.</w:t>
      </w:r>
      <w:r>
        <w:br/>
      </w:r>
      <w:r>
        <w:rPr>
          <w:rFonts w:ascii="Arial" w:hAnsi="Arial" w:cs="Arial" w:eastAsia="Arial"/>
          <w:color w:val="5A6478"/>
          <w:sz w:val="17"/>
          <w:szCs w:val="17"/>
        </w:rPr>
        <w:t>*** For the period from 30 June 2023 to 30 June 2024, including cash distributions of SAR 1.115 (0.185 + 0.93).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9.93</w:t>
            </w:r>
          </w:p>
        </w:tc>
        <w:tc>
          <w:tcPr>
            <w:tcW w:type="dxa" w:w="1663"/>
          </w:tcPr>
          <w:p>
            <w:pPr>
              <w:spacing w:before="0" w:after="0" w:line="264" w:lineRule="auto"/>
            </w:pPr>
            <w:r>
              <w:rPr>
                <w:rFonts w:ascii="Arial" w:hAnsi="Arial" w:cs="Arial" w:eastAsia="Arial"/>
                <w:color w:val="0E1E3A"/>
                <w:sz w:val="17"/>
                <w:szCs w:val="17"/>
              </w:rPr>
              <w:t>8.92</w:t>
            </w:r>
          </w:p>
        </w:tc>
        <w:tc>
          <w:tcPr>
            <w:tcW w:type="dxa" w:w="1663"/>
          </w:tcPr>
          <w:p>
            <w:pPr>
              <w:spacing w:before="0" w:after="0" w:line="264" w:lineRule="auto"/>
            </w:pPr>
            <w:r>
              <w:rPr>
                <w:rFonts w:ascii="Arial" w:hAnsi="Arial" w:cs="Arial" w:eastAsia="Arial"/>
                <w:color w:val="0E1E3A"/>
                <w:sz w:val="17"/>
                <w:szCs w:val="17"/>
              </w:rPr>
              <w:t>12.85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1.71</w:t>
            </w:r>
          </w:p>
        </w:tc>
        <w:tc>
          <w:tcPr>
            <w:tcW w:type="dxa" w:w="1663"/>
          </w:tcPr>
          <w:p>
            <w:pPr>
              <w:spacing w:before="0" w:after="0" w:line="264" w:lineRule="auto"/>
            </w:pPr>
            <w:r>
              <w:rPr>
                <w:rFonts w:ascii="Arial" w:hAnsi="Arial" w:cs="Arial" w:eastAsia="Arial"/>
                <w:color w:val="0E1E3A"/>
                <w:sz w:val="17"/>
                <w:szCs w:val="17"/>
              </w:rPr>
              <w:t>2.08</w:t>
            </w:r>
          </w:p>
        </w:tc>
        <w:tc>
          <w:tcPr>
            <w:tcW w:type="dxa" w:w="1663"/>
          </w:tcPr>
          <w:p>
            <w:pPr>
              <w:spacing w:before="0" w:after="0" w:line="264" w:lineRule="auto"/>
            </w:pPr>
            <w:r>
              <w:rPr>
                <w:rFonts w:ascii="Arial" w:hAnsi="Arial" w:cs="Arial" w:eastAsia="Arial"/>
                <w:color w:val="0E1E3A"/>
                <w:sz w:val="17"/>
                <w:szCs w:val="17"/>
              </w:rPr>
              <w:t>2.00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 3</w:t>
            </w:r>
          </w:p>
        </w:tc>
        <w:tc>
          <w:tcPr>
            <w:tcW w:type="dxa" w:w="1663"/>
          </w:tcPr>
          <w:p>
            <w:pPr>
              <w:spacing w:before="0" w:after="0" w:line="264" w:lineRule="auto"/>
            </w:pPr>
            <w:r>
              <w:rPr>
                <w:rFonts w:ascii="Arial" w:hAnsi="Arial" w:cs="Arial" w:eastAsia="Arial"/>
                <w:color w:val="0E1E3A"/>
                <w:sz w:val="17"/>
                <w:szCs w:val="17"/>
              </w:rPr>
              <w:t>5.86</w:t>
            </w:r>
          </w:p>
        </w:tc>
        <w:tc>
          <w:tcPr>
            <w:tcW w:type="dxa" w:w="1663"/>
          </w:tcPr>
          <w:p>
            <w:pPr>
              <w:spacing w:before="0" w:after="0" w:line="264" w:lineRule="auto"/>
            </w:pPr>
            <w:r>
              <w:rPr>
                <w:rFonts w:ascii="Arial" w:hAnsi="Arial" w:cs="Arial" w:eastAsia="Arial"/>
                <w:color w:val="0E1E3A"/>
                <w:sz w:val="17"/>
                <w:szCs w:val="17"/>
              </w:rPr>
              <w:t>5.29</w:t>
            </w:r>
          </w:p>
        </w:tc>
        <w:tc>
          <w:tcPr>
            <w:tcW w:type="dxa" w:w="1663"/>
          </w:tcPr>
          <w:p>
            <w:pPr>
              <w:spacing w:before="0" w:after="0" w:line="264" w:lineRule="auto"/>
            </w:pPr>
            <w:r>
              <w:rPr>
                <w:rFonts w:ascii="Arial" w:hAnsi="Arial" w:cs="Arial" w:eastAsia="Arial"/>
                <w:color w:val="0E1E3A"/>
                <w:sz w:val="17"/>
                <w:szCs w:val="17"/>
              </w:rPr>
              <w:t>9.81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0.95</w:t>
            </w:r>
          </w:p>
        </w:tc>
        <w:tc>
          <w:tcPr>
            <w:tcW w:type="dxa" w:w="1663"/>
          </w:tcPr>
          <w:p>
            <w:pPr>
              <w:spacing w:before="0" w:after="0" w:line="264" w:lineRule="auto"/>
            </w:pPr>
            <w:r>
              <w:rPr>
                <w:rFonts w:ascii="Arial" w:hAnsi="Arial" w:cs="Arial" w:eastAsia="Arial"/>
                <w:color w:val="0E1E3A"/>
                <w:sz w:val="17"/>
                <w:szCs w:val="17"/>
              </w:rPr>
              <w:t>0.85</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 5</w:t>
            </w:r>
          </w:p>
        </w:tc>
        <w:tc>
          <w:tcPr>
            <w:tcW w:type="dxa" w:w="1663"/>
          </w:tcPr>
          <w:p>
            <w:pPr>
              <w:spacing w:before="0" w:after="0" w:line="264" w:lineRule="auto"/>
            </w:pPr>
            <w:r>
              <w:rPr>
                <w:rFonts w:ascii="Arial" w:hAnsi="Arial" w:cs="Arial" w:eastAsia="Arial"/>
                <w:color w:val="0E1E3A"/>
                <w:sz w:val="17"/>
                <w:szCs w:val="17"/>
              </w:rPr>
              <w:t>2.62%</w:t>
            </w:r>
          </w:p>
        </w:tc>
        <w:tc>
          <w:tcPr>
            <w:tcW w:type="dxa" w:w="1663"/>
          </w:tcPr>
          <w:p>
            <w:pPr>
              <w:spacing w:before="0" w:after="0" w:line="264" w:lineRule="auto"/>
            </w:pPr>
            <w:r>
              <w:rPr>
                <w:rFonts w:ascii="Arial" w:hAnsi="Arial" w:cs="Arial" w:eastAsia="Arial"/>
                <w:color w:val="0E1E3A"/>
                <w:sz w:val="17"/>
                <w:szCs w:val="17"/>
              </w:rPr>
              <w:t>0.18%</w:t>
            </w:r>
          </w:p>
        </w:tc>
        <w:tc>
          <w:tcPr>
            <w:tcW w:type="dxa" w:w="1663"/>
          </w:tcPr>
          <w:p>
            <w:pPr>
              <w:spacing w:before="0" w:after="0" w:line="264" w:lineRule="auto"/>
            </w:pPr>
            <w:r>
              <w:rPr>
                <w:rFonts w:ascii="Arial" w:hAnsi="Arial" w:cs="Arial" w:eastAsia="Arial"/>
                <w:color w:val="0E1E3A"/>
                <w:sz w:val="17"/>
                <w:szCs w:val="17"/>
              </w:rPr>
              <w:t>13.80%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0.45</w:t>
            </w:r>
          </w:p>
        </w:tc>
        <w:tc>
          <w:tcPr>
            <w:tcW w:type="dxa" w:w="1663"/>
          </w:tcPr>
          <w:p>
            <w:pPr>
              <w:spacing w:before="0" w:after="0" w:line="264" w:lineRule="auto"/>
            </w:pPr>
            <w:r>
              <w:rPr>
                <w:rFonts w:ascii="Arial" w:hAnsi="Arial" w:cs="Arial" w:eastAsia="Arial"/>
                <w:color w:val="0E1E3A"/>
                <w:sz w:val="17"/>
                <w:szCs w:val="17"/>
              </w:rPr>
              <w:t>0.03</w:t>
            </w:r>
          </w:p>
        </w:tc>
        <w:tc>
          <w:tcPr>
            <w:tcW w:type="dxa" w:w="1663"/>
          </w:tcPr>
          <w:p>
            <w:pPr>
              <w:spacing w:before="0" w:after="0" w:line="264" w:lineRule="auto"/>
            </w:pPr>
            <w:r>
              <w:rPr>
                <w:rFonts w:ascii="Arial" w:hAnsi="Arial" w:cs="Arial" w:eastAsia="Arial"/>
                <w:color w:val="0E1E3A"/>
                <w:sz w:val="17"/>
                <w:szCs w:val="17"/>
              </w:rPr>
              <w:t>1.41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w:t>
      </w:r>
      <w:r>
        <w:br/>
      </w:r>
      <w:r>
        <w:rPr>
          <w:rFonts w:ascii="Arial" w:hAnsi="Arial" w:cs="Arial" w:eastAsia="Arial"/>
          <w:color w:val="5A6478"/>
          <w:sz w:val="17"/>
          <w:szCs w:val="17"/>
        </w:rPr>
        <w:t>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w:t>
      </w:r>
      <w:r>
        <w:br/>
      </w:r>
      <w:r>
        <w:rPr>
          <w:rFonts w:ascii="Arial" w:hAnsi="Arial" w:cs="Arial" w:eastAsia="Arial"/>
          <w:color w:val="5A6478"/>
          <w:sz w:val="17"/>
          <w:szCs w:val="17"/>
        </w:rPr>
        <w:t>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w:t>
      </w:r>
      <w:r>
        <w:br/>
      </w:r>
      <w:r>
        <w:rPr>
          <w:rFonts w:ascii="Arial" w:hAnsi="Arial" w:cs="Arial" w:eastAsia="Arial"/>
          <w:color w:val="5A6478"/>
          <w:sz w:val="17"/>
          <w:szCs w:val="17"/>
        </w:rPr>
        <w:t>Manager ability to generate excess returns per Unit of excess risk.</w:t>
      </w:r>
      <w:r>
        <w:br/>
      </w:r>
      <w:r>
        <w:rPr>
          <w:rFonts w:ascii="Arial" w:hAnsi="Arial" w:cs="Arial" w:eastAsia="Arial"/>
          <w:color w:val="5A6478"/>
          <w:sz w:val="17"/>
          <w:szCs w:val="17"/>
        </w:rPr>
        <w:t>7. 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In the general assembly meeting held on 19 July 2023, the unitholders approved the Buyback for Cancellation of Units of up to 50% of the total existing units.</w:t>
      </w:r>
    </w:p>
    <w:p>
      <w:pPr>
        <w:spacing w:before="0" w:after="80" w:line="312" w:lineRule="auto"/>
      </w:pPr>
      <w:r>
        <w:rPr>
          <w:rFonts w:ascii="Arial" w:hAnsi="Arial" w:cs="Arial" w:eastAsia="Arial"/>
          <w:color w:val="0E1E3A"/>
          <w:sz w:val="20"/>
          <w:szCs w:val="20"/>
        </w:rPr>
        <w:t>As of 30 June 2024, the Fund Manager has successfully bought back 29,475,700 units of the Fund amounting to 29.48% of the total number of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6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In Q2 2024, global equity markets grew moderately amid improving economic conditions and abating inflationary pressures. The US Fed’s cautious monetary policy approach, combined with favorable corporate income reports, contributed to easing fears of an imminent recession. As a result, main indices recorded gains, with Alkhabeer Global Equities Index rising by 4.40% in the second quarter of 2024 and 11.24% year-to-date.</w:t>
      </w:r>
    </w:p>
    <w:p>
      <w:pPr>
        <w:spacing w:before="0" w:after="80" w:line="312" w:lineRule="auto"/>
      </w:pPr>
      <w:r>
        <w:rPr>
          <w:rFonts w:ascii="Arial" w:hAnsi="Arial" w:cs="Arial" w:eastAsia="Arial"/>
          <w:color w:val="0E1E3A"/>
          <w:sz w:val="20"/>
          <w:szCs w:val="20"/>
        </w:rPr>
        <w:t>The latest IMF World Economic Outlook for April 2024 forecasts higher global GDP growth in 2024 to 3.2% driven by a greater than expected resilience of the US economy and many of the larger emerging market economies, as well as China’s continued fiscal support. It is projected that advanced economies will grow by 1.7%, while emerging markets are expected to grow by 4.2% in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6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2"/>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at 30 June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3"/>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4"/>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Q2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