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7"/>
            <wp:cNvGraphicFramePr/>
            <a:graphic>
              <a:graphicData uri="http://schemas.openxmlformats.org/drawingml/2006/picture">
                <pic:pic>
                  <pic:nvPicPr>
                    <pic:cNvPr id="9037" name="banner9037.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38"/>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للنمو والدخل المتداول"، هو صندوق استثمار أسهم عام، متداول، مغلق، متوافق مع ضوابط الهيئة الشرعية، تم إنشاؤه بموجب الأنظمة واللوائح المعمول بها في المملكة العربية السعودية، ويخضع لرقابة وإشراف هيئة السوق المالية. ويتمثل الهدف الاستثماري للصندوق في تنمية صافي قيمة أصول الصندوق من خلال أداء استثماراته على المدى الطويل، وتحقيق دخل دوري للمستثمرين من خلال توزيع عوائد الشركات التي يستثمر بها الصندوق، بالإضافة إلى جزء من الأرباح الرأس مالية الناتجة عن نمو القيمة السوقية للأوراق المالية المستثمر بها. حيث يتم ذلك عن طريق الاستثمار في محفظة متنوعة من الأسهم العالمية، وصناديق الأسهم العامة والخاصة، وطروحات الشركات للاكتتاب العام، والطروحات الخاصة والنقد وما في حكمه.</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AKGRINF AB EQUITY</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أسهم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بدء الصندوق</w:t>
            </w:r>
          </w:p>
        </w:tc>
        <w:tc>
          <w:tcPr>
            <w:tcW w:type="dxa" w:w="6860"/>
          </w:tcPr>
          <w:p>
            <w:pPr>
              <w:bidi w:val="1"/>
              <w:spacing w:before="0" w:after="0" w:line="276" w:lineRule="auto"/>
            </w:pPr>
            <w:r>
              <w:rPr>
                <w:rFonts w:ascii="Arial" w:hAnsi="Arial" w:cs="Arial" w:eastAsia="Arial"/>
                <w:b/>
                <w:bCs/>
                <w:color w:val="0E1E3A"/>
                <w:sz w:val="18"/>
                <w:szCs w:val="18"/>
                <w:rtl/>
              </w:rPr>
              <w:t>27 أبريل 2022م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12.4216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829,043,905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الصندوق عند التأسيس</w:t>
            </w:r>
          </w:p>
        </w:tc>
        <w:tc>
          <w:tcPr>
            <w:tcW w:type="dxa" w:w="6860"/>
          </w:tcPr>
          <w:p>
            <w:pPr>
              <w:bidi w:val="1"/>
              <w:spacing w:before="0" w:after="0" w:line="276" w:lineRule="auto"/>
            </w:pPr>
            <w:r>
              <w:rPr>
                <w:rFonts w:ascii="Arial" w:hAnsi="Arial" w:cs="Arial" w:eastAsia="Arial"/>
                <w:b/>
                <w:bCs/>
                <w:color w:val="0E1E3A"/>
                <w:sz w:val="18"/>
                <w:szCs w:val="18"/>
                <w:rtl/>
              </w:rPr>
              <w:t>مليار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الاقتراض *</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‎0.06%‎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91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يونيو 2025م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فئات الأصول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41"/>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يوميا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829,043,905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الصندوق *</w:t>
            </w:r>
          </w:p>
        </w:tc>
        <w:tc>
          <w:tcPr>
            <w:tcW w:type="dxa" w:w="6860"/>
          </w:tcPr>
          <w:p>
            <w:pPr>
              <w:bidi w:val="1"/>
              <w:spacing w:before="0" w:after="0" w:line="276" w:lineRule="auto"/>
            </w:pPr>
            <w:r>
              <w:rPr>
                <w:rFonts w:ascii="Arial" w:hAnsi="Arial" w:cs="Arial" w:eastAsia="Arial"/>
                <w:b/>
                <w:bCs/>
                <w:color w:val="0E1E3A"/>
                <w:sz w:val="18"/>
                <w:szCs w:val="18"/>
                <w:rtl/>
              </w:rPr>
              <w:t>824,561,131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مصاريف التعامل للربع المعني</w:t>
            </w:r>
          </w:p>
        </w:tc>
        <w:tc>
          <w:tcPr>
            <w:tcW w:type="dxa" w:w="6860"/>
          </w:tcPr>
          <w:p>
            <w:pPr>
              <w:bidi w:val="1"/>
              <w:spacing w:before="0" w:after="0" w:line="276" w:lineRule="auto"/>
            </w:pPr>
            <w:r>
              <w:rPr>
                <w:rFonts w:ascii="Arial" w:hAnsi="Arial" w:cs="Arial" w:eastAsia="Arial"/>
                <w:b/>
                <w:bCs/>
                <w:color w:val="0E1E3A"/>
                <w:sz w:val="18"/>
                <w:szCs w:val="18"/>
                <w:rtl/>
              </w:rPr>
              <w:t>44,831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من متوسط صافي قيمة أصول الصندوق ****</w:t>
            </w:r>
          </w:p>
        </w:tc>
        <w:tc>
          <w:tcPr>
            <w:tcW w:type="dxa" w:w="6860"/>
          </w:tcPr>
          <w:p>
            <w:pPr>
              <w:bidi w:val="1"/>
              <w:spacing w:before="0" w:after="0" w:line="276" w:lineRule="auto"/>
            </w:pPr>
            <w:r>
              <w:rPr>
                <w:rFonts w:ascii="Arial" w:hAnsi="Arial" w:cs="Arial" w:eastAsia="Arial"/>
                <w:b/>
                <w:bCs/>
                <w:color w:val="0E1E3A"/>
                <w:sz w:val="18"/>
                <w:szCs w:val="18"/>
              </w:rPr>
              <w:t>‎0.01%‎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متوسط صافي أصول الصندوق</w:t>
            </w:r>
          </w:p>
        </w:tc>
        <w:tc>
          <w:tcPr>
            <w:tcW w:type="dxa" w:w="6860"/>
          </w:tcPr>
          <w:p>
            <w:pPr>
              <w:bidi w:val="1"/>
              <w:spacing w:before="0" w:after="0" w:line="276" w:lineRule="auto"/>
            </w:pPr>
            <w:r>
              <w:rPr>
                <w:rFonts w:ascii="Arial" w:hAnsi="Arial" w:cs="Arial" w:eastAsia="Arial"/>
                <w:b/>
                <w:bCs/>
                <w:color w:val="0E1E3A"/>
                <w:sz w:val="18"/>
                <w:szCs w:val="18"/>
              </w:rPr>
              <w:t>‎0.32%‎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المصروفات والتكاليف والأتعاب الإجمالية للربع المعني</w:t>
            </w:r>
          </w:p>
        </w:tc>
        <w:tc>
          <w:tcPr>
            <w:tcW w:type="dxa" w:w="6860"/>
          </w:tcPr>
          <w:p>
            <w:pPr>
              <w:bidi w:val="1"/>
              <w:spacing w:before="0" w:after="0" w:line="276" w:lineRule="auto"/>
            </w:pPr>
            <w:r>
              <w:rPr>
                <w:rFonts w:ascii="Arial" w:hAnsi="Arial" w:cs="Arial" w:eastAsia="Arial"/>
                <w:b/>
                <w:bCs/>
                <w:color w:val="0E1E3A"/>
                <w:sz w:val="18"/>
                <w:szCs w:val="18"/>
                <w:rtl/>
              </w:rPr>
              <w:t>2,498,214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للربع المعني من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‎0.32%‎</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يونيو 2025م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قيمة أصول الصندوق خلال الربع المعني 784,329,814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978811"/>
            <wp:docPr id="8" name="Picture 9044"/>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978811"/>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10 شركات في الأسهم العالمية والمحلية المدرجة</w:t>
      </w:r>
    </w:p>
    <w:p>
      <w:pPr>
        <w:bidi w:val="1"/>
        <w:spacing w:before="0" w:after="80" w:line="240" w:lineRule="auto"/>
        <w:jc w:val="center"/>
      </w:pPr>
      <w:r>
        <w:drawing>
          <wp:inline xmlns:a="http://schemas.openxmlformats.org/drawingml/2006/main" xmlns:pic="http://schemas.openxmlformats.org/drawingml/2006/picture">
            <wp:extent cx="6336000" cy="3015784"/>
            <wp:docPr id="10" name="Picture 9046"/>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3015784"/>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4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قطاعات الشركات التي يستثمر فيها الصندوق</w:t>
      </w:r>
    </w:p>
    <w:p>
      <w:pPr>
        <w:bidi w:val="1"/>
        <w:spacing w:before="0" w:after="80" w:line="240" w:lineRule="auto"/>
        <w:jc w:val="center"/>
      </w:pPr>
      <w:r>
        <w:drawing>
          <wp:inline xmlns:a="http://schemas.openxmlformats.org/drawingml/2006/main" xmlns:pic="http://schemas.openxmlformats.org/drawingml/2006/picture">
            <wp:extent cx="6336000" cy="3025297"/>
            <wp:docPr id="12" name="Picture 9048"/>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3025297"/>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4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أسهم مدرجة</w:t>
            </w:r>
          </w:p>
        </w:tc>
        <w:tc>
          <w:tcPr>
            <w:tcW w:type="dxa" w:w="6860"/>
          </w:tcPr>
          <w:p>
            <w:pPr>
              <w:bidi w:val="1"/>
              <w:spacing w:before="0" w:after="0" w:line="276" w:lineRule="auto"/>
            </w:pPr>
            <w:r>
              <w:rPr>
                <w:rFonts w:ascii="Arial" w:hAnsi="Arial" w:cs="Arial" w:eastAsia="Arial"/>
                <w:b/>
                <w:bCs/>
                <w:color w:val="0E1E3A"/>
                <w:sz w:val="18"/>
                <w:szCs w:val="18"/>
                <w:rtl/>
              </w:rPr>
              <w:t>789,783,020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39,260,885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5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91892"/>
            <wp:docPr id="15" name="Picture 9051"/>
            <wp:cNvGraphicFramePr>
              <a:graphicFrameLocks noChangeAspect="1"/>
            </wp:cNvGraphicFramePr>
            <a:graphic>
              <a:graphicData uri="http://schemas.openxmlformats.org/drawingml/2006/picture">
                <pic:pic>
                  <pic:nvPicPr>
                    <pic:cNvPr id="0" name="x6.j.jpg"/>
                    <pic:cNvPicPr/>
                  </pic:nvPicPr>
                  <pic:blipFill>
                    <a:blip r:embed="rId20"/>
                    <a:stretch>
                      <a:fillRect/>
                    </a:stretch>
                  </pic:blipFill>
                  <pic:spPr>
                    <a:xfrm>
                      <a:off x="0" y="0"/>
                      <a:ext cx="6336000" cy="3091892"/>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5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 (27 أبريل 2022م)</w:t>
            </w:r>
          </w:p>
        </w:tc>
        <w:tc>
          <w:tcPr>
            <w:tcW w:type="dxa" w:w="6860"/>
          </w:tcPr>
          <w:p>
            <w:pPr>
              <w:bidi w:val="1"/>
              <w:spacing w:before="0" w:after="0" w:line="276" w:lineRule="auto"/>
            </w:pPr>
            <w:r>
              <w:rPr>
                <w:rFonts w:ascii="Arial" w:hAnsi="Arial" w:cs="Arial" w:eastAsia="Arial"/>
                <w:b/>
                <w:bCs/>
                <w:color w:val="0E1E3A"/>
                <w:sz w:val="18"/>
                <w:szCs w:val="18"/>
                <w:rtl/>
              </w:rPr>
              <w:t>1,000,000,000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يونيو 2022م</w:t>
            </w:r>
          </w:p>
        </w:tc>
        <w:tc>
          <w:tcPr>
            <w:tcW w:type="dxa" w:w="6860"/>
          </w:tcPr>
          <w:p>
            <w:pPr>
              <w:bidi w:val="1"/>
              <w:spacing w:before="0" w:after="0" w:line="276" w:lineRule="auto"/>
            </w:pPr>
            <w:r>
              <w:rPr>
                <w:rFonts w:ascii="Arial" w:hAnsi="Arial" w:cs="Arial" w:eastAsia="Arial"/>
                <w:b/>
                <w:bCs/>
                <w:color w:val="0E1E3A"/>
                <w:sz w:val="18"/>
                <w:szCs w:val="18"/>
                <w:rtl/>
              </w:rPr>
              <w:t>691,000,000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29 سبتمبر 2022م</w:t>
            </w:r>
          </w:p>
        </w:tc>
        <w:tc>
          <w:tcPr>
            <w:tcW w:type="dxa" w:w="6860"/>
          </w:tcPr>
          <w:p>
            <w:pPr>
              <w:bidi w:val="1"/>
              <w:spacing w:before="0" w:after="0" w:line="276" w:lineRule="auto"/>
            </w:pPr>
            <w:r>
              <w:rPr>
                <w:rFonts w:ascii="Arial" w:hAnsi="Arial" w:cs="Arial" w:eastAsia="Arial"/>
                <w:b/>
                <w:bCs/>
                <w:color w:val="0E1E3A"/>
                <w:sz w:val="18"/>
                <w:szCs w:val="18"/>
                <w:rtl/>
              </w:rPr>
              <w:t>617,000,000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29 ديسمبر 2022م</w:t>
            </w:r>
          </w:p>
        </w:tc>
        <w:tc>
          <w:tcPr>
            <w:tcW w:type="dxa" w:w="6860"/>
          </w:tcPr>
          <w:p>
            <w:pPr>
              <w:bidi w:val="1"/>
              <w:spacing w:before="0" w:after="0" w:line="276" w:lineRule="auto"/>
            </w:pPr>
            <w:r>
              <w:rPr>
                <w:rFonts w:ascii="Arial" w:hAnsi="Arial" w:cs="Arial" w:eastAsia="Arial"/>
                <w:b/>
                <w:bCs/>
                <w:color w:val="0E1E3A"/>
                <w:sz w:val="18"/>
                <w:szCs w:val="18"/>
                <w:rtl/>
              </w:rPr>
              <w:t>569,000,000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مارس 2023م</w:t>
            </w:r>
          </w:p>
        </w:tc>
        <w:tc>
          <w:tcPr>
            <w:tcW w:type="dxa" w:w="6860"/>
          </w:tcPr>
          <w:p>
            <w:pPr>
              <w:bidi w:val="1"/>
              <w:spacing w:before="0" w:after="0" w:line="276" w:lineRule="auto"/>
            </w:pPr>
            <w:r>
              <w:rPr>
                <w:rFonts w:ascii="Arial" w:hAnsi="Arial" w:cs="Arial" w:eastAsia="Arial"/>
                <w:b/>
                <w:bCs/>
                <w:color w:val="0E1E3A"/>
                <w:sz w:val="18"/>
                <w:szCs w:val="18"/>
                <w:rtl/>
              </w:rPr>
              <w:t>597,000,000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22 يونيو 2023م</w:t>
            </w:r>
          </w:p>
        </w:tc>
        <w:tc>
          <w:tcPr>
            <w:tcW w:type="dxa" w:w="6860"/>
          </w:tcPr>
          <w:p>
            <w:pPr>
              <w:bidi w:val="1"/>
              <w:spacing w:before="0" w:after="0" w:line="276" w:lineRule="auto"/>
            </w:pPr>
            <w:r>
              <w:rPr>
                <w:rFonts w:ascii="Arial" w:hAnsi="Arial" w:cs="Arial" w:eastAsia="Arial"/>
                <w:b/>
                <w:bCs/>
                <w:color w:val="0E1E3A"/>
                <w:sz w:val="18"/>
                <w:szCs w:val="18"/>
                <w:rtl/>
              </w:rPr>
              <w:t>811,000,000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28 سبتمبر 2023م *</w:t>
            </w:r>
          </w:p>
        </w:tc>
        <w:tc>
          <w:tcPr>
            <w:tcW w:type="dxa" w:w="6860"/>
          </w:tcPr>
          <w:p>
            <w:pPr>
              <w:bidi w:val="1"/>
              <w:spacing w:before="0" w:after="0" w:line="276" w:lineRule="auto"/>
            </w:pPr>
            <w:r>
              <w:rPr>
                <w:rFonts w:ascii="Arial" w:hAnsi="Arial" w:cs="Arial" w:eastAsia="Arial"/>
                <w:b/>
                <w:bCs/>
                <w:color w:val="0E1E3A"/>
                <w:sz w:val="18"/>
                <w:szCs w:val="18"/>
                <w:rtl/>
              </w:rPr>
              <w:t>654,189,890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31 ديسمبر 2023م **</w:t>
            </w:r>
          </w:p>
        </w:tc>
        <w:tc>
          <w:tcPr>
            <w:tcW w:type="dxa" w:w="6860"/>
          </w:tcPr>
          <w:p>
            <w:pPr>
              <w:bidi w:val="1"/>
              <w:spacing w:before="0" w:after="0" w:line="276" w:lineRule="auto"/>
            </w:pPr>
            <w:r>
              <w:rPr>
                <w:rFonts w:ascii="Arial" w:hAnsi="Arial" w:cs="Arial" w:eastAsia="Arial"/>
                <w:b/>
                <w:bCs/>
                <w:color w:val="0E1E3A"/>
                <w:sz w:val="18"/>
                <w:szCs w:val="18"/>
                <w:rtl/>
              </w:rPr>
              <w:t>633,808,698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31 مارس 2024م ***</w:t>
            </w:r>
          </w:p>
        </w:tc>
        <w:tc>
          <w:tcPr>
            <w:tcW w:type="dxa" w:w="6860"/>
          </w:tcPr>
          <w:p>
            <w:pPr>
              <w:bidi w:val="1"/>
              <w:spacing w:before="0" w:after="0" w:line="276" w:lineRule="auto"/>
            </w:pPr>
            <w:r>
              <w:rPr>
                <w:rFonts w:ascii="Arial" w:hAnsi="Arial" w:cs="Arial" w:eastAsia="Arial"/>
                <w:b/>
                <w:bCs/>
                <w:color w:val="0E1E3A"/>
                <w:sz w:val="18"/>
                <w:szCs w:val="18"/>
                <w:rtl/>
              </w:rPr>
              <w:t>642,402,714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يونيو 2024م ****</w:t>
            </w:r>
          </w:p>
        </w:tc>
        <w:tc>
          <w:tcPr>
            <w:tcW w:type="dxa" w:w="6860"/>
          </w:tcPr>
          <w:p>
            <w:pPr>
              <w:bidi w:val="1"/>
              <w:spacing w:before="0" w:after="0" w:line="276" w:lineRule="auto"/>
            </w:pPr>
            <w:r>
              <w:rPr>
                <w:rFonts w:ascii="Arial" w:hAnsi="Arial" w:cs="Arial" w:eastAsia="Arial"/>
                <w:b/>
                <w:bCs/>
                <w:color w:val="0E1E3A"/>
                <w:sz w:val="18"/>
                <w:szCs w:val="18"/>
                <w:rtl/>
              </w:rPr>
              <w:t>621,319,083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سبتمبر 2024م *****</w:t>
            </w:r>
          </w:p>
        </w:tc>
        <w:tc>
          <w:tcPr>
            <w:tcW w:type="dxa" w:w="6860"/>
          </w:tcPr>
          <w:p>
            <w:pPr>
              <w:bidi w:val="1"/>
              <w:spacing w:before="0" w:after="0" w:line="276" w:lineRule="auto"/>
            </w:pPr>
            <w:r>
              <w:rPr>
                <w:rFonts w:ascii="Arial" w:hAnsi="Arial" w:cs="Arial" w:eastAsia="Arial"/>
                <w:b/>
                <w:bCs/>
                <w:color w:val="0E1E3A"/>
                <w:sz w:val="18"/>
                <w:szCs w:val="18"/>
                <w:rtl/>
              </w:rPr>
              <w:t>572,376,972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31 ديسمبر 2024م ******</w:t>
            </w:r>
          </w:p>
        </w:tc>
        <w:tc>
          <w:tcPr>
            <w:tcW w:type="dxa" w:w="6860"/>
          </w:tcPr>
          <w:p>
            <w:pPr>
              <w:bidi w:val="1"/>
              <w:spacing w:before="0" w:after="0" w:line="276" w:lineRule="auto"/>
            </w:pPr>
            <w:r>
              <w:rPr>
                <w:rFonts w:ascii="Arial" w:hAnsi="Arial" w:cs="Arial" w:eastAsia="Arial"/>
                <w:b/>
                <w:bCs/>
                <w:color w:val="0E1E3A"/>
                <w:sz w:val="18"/>
                <w:szCs w:val="18"/>
                <w:rtl/>
              </w:rPr>
              <w:t>583,510,775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27 مارس 2025م *******</w:t>
            </w:r>
          </w:p>
        </w:tc>
        <w:tc>
          <w:tcPr>
            <w:tcW w:type="dxa" w:w="6860"/>
          </w:tcPr>
          <w:p>
            <w:pPr>
              <w:bidi w:val="1"/>
              <w:spacing w:before="0" w:after="0" w:line="276" w:lineRule="auto"/>
            </w:pPr>
            <w:r>
              <w:rPr>
                <w:rFonts w:ascii="Arial" w:hAnsi="Arial" w:cs="Arial" w:eastAsia="Arial"/>
                <w:b/>
                <w:bCs/>
                <w:color w:val="0E1E3A"/>
                <w:sz w:val="18"/>
                <w:szCs w:val="18"/>
                <w:rtl/>
              </w:rPr>
              <w:t>585,191,495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يونيو 2025م *********</w:t>
            </w:r>
          </w:p>
        </w:tc>
        <w:tc>
          <w:tcPr>
            <w:tcW w:type="dxa" w:w="6860"/>
          </w:tcPr>
          <w:p>
            <w:pPr>
              <w:bidi w:val="1"/>
              <w:spacing w:before="0" w:after="0" w:line="276" w:lineRule="auto"/>
            </w:pPr>
            <w:r>
              <w:rPr>
                <w:rFonts w:ascii="Arial" w:hAnsi="Arial" w:cs="Arial" w:eastAsia="Arial"/>
                <w:b/>
                <w:bCs/>
                <w:color w:val="0E1E3A"/>
                <w:sz w:val="18"/>
                <w:szCs w:val="18"/>
                <w:rtl/>
              </w:rPr>
              <w:t>635,266,983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غير متضمنة الوحدات المعاد شراؤها من قبل الصندوق بغرض إلغائها، بعدد 24,371,111 وحدة، كما في 28</w:t>
      </w:r>
      <w:r>
        <w:br/>
      </w:r>
      <w:r>
        <w:rPr>
          <w:rFonts w:ascii="Arial" w:hAnsi="Arial" w:cs="Arial" w:eastAsia="Arial"/>
          <w:color w:val="5A6478"/>
          <w:sz w:val="17"/>
          <w:szCs w:val="17"/>
          <w:rtl/>
        </w:rPr>
        <w:t>سبتمبر 2023م.</w:t>
      </w:r>
      <w:r>
        <w:br/>
      </w:r>
      <w:r>
        <w:rPr>
          <w:rFonts w:ascii="Arial" w:hAnsi="Arial" w:cs="Arial" w:eastAsia="Arial"/>
          <w:color w:val="5A6478"/>
          <w:sz w:val="17"/>
          <w:szCs w:val="17"/>
          <w:rtl/>
        </w:rPr>
        <w:t>** غير متضمنة الوحدات المعاد شراؤها من قبل الصندوق بغرض إلغائها، بعدد 28,383,198 وحدة كما في 31 ديسمبر 2023م.</w:t>
      </w:r>
      <w:r>
        <w:br/>
      </w:r>
      <w:r>
        <w:rPr>
          <w:rFonts w:ascii="Arial" w:hAnsi="Arial" w:cs="Arial" w:eastAsia="Arial"/>
          <w:color w:val="5A6478"/>
          <w:sz w:val="17"/>
          <w:szCs w:val="17"/>
          <w:rtl/>
        </w:rPr>
        <w:t>*** غير متضمنة الوحدات المعاد شراؤها من قبل الصندوق بغرض إلغائها، بعدد 28,383,198 وحدة كما في 31 مارس 2024م.</w:t>
      </w:r>
      <w:r>
        <w:br/>
      </w:r>
      <w:r>
        <w:rPr>
          <w:rFonts w:ascii="Arial" w:hAnsi="Arial" w:cs="Arial" w:eastAsia="Arial"/>
          <w:color w:val="5A6478"/>
          <w:sz w:val="17"/>
          <w:szCs w:val="17"/>
          <w:rtl/>
        </w:rPr>
        <w:t>**** غير متضمنة الوحدات المعاد شراؤها من قبل الصندوق بغرض إلغائها، بعدد 29,475,700.00 كما في 30 يونيو 2024م.</w:t>
      </w:r>
      <w:r>
        <w:br/>
      </w:r>
      <w:r>
        <w:rPr>
          <w:rFonts w:ascii="Arial" w:hAnsi="Arial" w:cs="Arial" w:eastAsia="Arial"/>
          <w:color w:val="5A6478"/>
          <w:sz w:val="17"/>
          <w:szCs w:val="17"/>
          <w:rtl/>
        </w:rPr>
        <w:t>***** تم إلغاء الوحدات المعاد شراؤها من قبل الصندوق بغرض إلغائها بعدد 30,025,851 وحدة بتاريخ 25 يوليو 2024م.</w:t>
      </w:r>
      <w:r>
        <w:br/>
      </w:r>
      <w:r>
        <w:rPr>
          <w:rFonts w:ascii="Arial" w:hAnsi="Arial" w:cs="Arial" w:eastAsia="Arial"/>
          <w:color w:val="5A6478"/>
          <w:sz w:val="17"/>
          <w:szCs w:val="17"/>
          <w:rtl/>
        </w:rPr>
        <w:t>***** غير متضمنة الوحدات المعاد شراؤها من قبل الصندوق بغرض إلغائها، بعدد 257,100 كما في 30 سبتمبر 2024م.</w:t>
      </w:r>
      <w:r>
        <w:br/>
      </w:r>
      <w:r>
        <w:rPr>
          <w:rFonts w:ascii="Arial" w:hAnsi="Arial" w:cs="Arial" w:eastAsia="Arial"/>
          <w:color w:val="5A6478"/>
          <w:sz w:val="17"/>
          <w:szCs w:val="17"/>
          <w:rtl/>
        </w:rPr>
        <w:t>****** غير متضمنة الوحدات المعاد شراؤها من قبل الصندوق بغرض إلغائها، بعدد 755,789 وحدة كما في 31 ديسمبر 2024م.</w:t>
      </w:r>
      <w:r>
        <w:br/>
      </w:r>
      <w:r>
        <w:rPr>
          <w:rFonts w:ascii="Arial" w:hAnsi="Arial" w:cs="Arial" w:eastAsia="Arial"/>
          <w:color w:val="5A6478"/>
          <w:sz w:val="17"/>
          <w:szCs w:val="17"/>
          <w:rtl/>
        </w:rPr>
        <w:t>******* غير متضمنة الوحدات المعاد شراؤها من قبل الصندوق بغرض إلغائها، بعدد 1,047,000 وحدة كما في 27 مارس 2025م.</w:t>
      </w:r>
      <w:r>
        <w:br/>
      </w:r>
      <w:r>
        <w:rPr>
          <w:rFonts w:ascii="Arial" w:hAnsi="Arial" w:cs="Arial" w:eastAsia="Arial"/>
          <w:color w:val="5A6478"/>
          <w:sz w:val="17"/>
          <w:szCs w:val="17"/>
          <w:rtl/>
        </w:rPr>
        <w:t>******** غير متضمنة الوحدات المعاد شراؤها من قبل الصندوق بغرض إلغائها، بعدد 3,593,064 وحدة كما في 30 يونيو 2025م.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5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الثاني (30 يونيو 2025م)</w:t>
            </w:r>
          </w:p>
        </w:tc>
        <w:tc>
          <w:tcPr>
            <w:tcW w:type="dxa" w:w="6860"/>
          </w:tcPr>
          <w:p>
            <w:pPr>
              <w:bidi w:val="1"/>
              <w:spacing w:before="0" w:after="0" w:line="276" w:lineRule="auto"/>
            </w:pPr>
            <w:r>
              <w:rPr>
                <w:rFonts w:ascii="Arial" w:hAnsi="Arial" w:cs="Arial" w:eastAsia="Arial"/>
                <w:b/>
                <w:bCs/>
                <w:color w:val="0E1E3A"/>
                <w:sz w:val="18"/>
                <w:szCs w:val="18"/>
                <w:rtl/>
              </w:rPr>
              <w:t>9.57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خلال الربع الحالي مقارنة بالربع السابق (من تاريخ 31 مارس 2025م إلى 30 يونيو 2025م)</w:t>
            </w:r>
          </w:p>
        </w:tc>
        <w:tc>
          <w:tcPr>
            <w:tcW w:type="dxa" w:w="6860"/>
          </w:tcPr>
          <w:p>
            <w:pPr>
              <w:bidi w:val="1"/>
              <w:spacing w:before="0" w:after="0" w:line="276" w:lineRule="auto"/>
            </w:pPr>
            <w:r>
              <w:rPr>
                <w:rFonts w:ascii="Arial" w:hAnsi="Arial" w:cs="Arial" w:eastAsia="Arial"/>
                <w:b/>
                <w:bCs/>
                <w:color w:val="0E1E3A"/>
                <w:sz w:val="18"/>
                <w:szCs w:val="18"/>
              </w:rPr>
              <w:t>‎12.72%‎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الثاني 2025م)</w:t>
            </w:r>
          </w:p>
        </w:tc>
        <w:tc>
          <w:tcPr>
            <w:tcW w:type="dxa" w:w="6860"/>
          </w:tcPr>
          <w:p>
            <w:pPr>
              <w:bidi w:val="1"/>
              <w:spacing w:before="0" w:after="0" w:line="276" w:lineRule="auto"/>
            </w:pPr>
            <w:r>
              <w:rPr>
                <w:rFonts w:ascii="Arial" w:hAnsi="Arial" w:cs="Arial" w:eastAsia="Arial"/>
                <w:b/>
                <w:bCs/>
                <w:color w:val="0E1E3A"/>
                <w:sz w:val="18"/>
                <w:szCs w:val="18"/>
              </w:rPr>
              <w:t>‎-4.30%‎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لسعر الوحدة منذ تاريخ الإدراج (من تاريخ الإدراج إلى نهاية الربع الثاني 2025م)</w:t>
            </w:r>
          </w:p>
        </w:tc>
        <w:tc>
          <w:tcPr>
            <w:tcW w:type="dxa" w:w="6860"/>
          </w:tcPr>
          <w:p>
            <w:pPr>
              <w:bidi w:val="1"/>
              <w:spacing w:before="0" w:after="0" w:line="276" w:lineRule="auto"/>
            </w:pPr>
            <w:r>
              <w:rPr>
                <w:rFonts w:ascii="Arial" w:hAnsi="Arial" w:cs="Arial" w:eastAsia="Arial"/>
                <w:b/>
                <w:bCs/>
                <w:color w:val="0E1E3A"/>
                <w:sz w:val="18"/>
                <w:szCs w:val="18"/>
              </w:rPr>
              <w:t>‎16.77%‎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9.57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7.9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 (كما في 30 يونيو 2025م) *</w:t>
            </w:r>
          </w:p>
        </w:tc>
        <w:tc>
          <w:tcPr>
            <w:tcW w:type="dxa" w:w="6860"/>
          </w:tcPr>
          <w:p>
            <w:pPr>
              <w:bidi w:val="1"/>
              <w:spacing w:before="0" w:after="0" w:line="276" w:lineRule="auto"/>
            </w:pPr>
            <w:r>
              <w:rPr>
                <w:rFonts w:ascii="Arial" w:hAnsi="Arial" w:cs="Arial" w:eastAsia="Arial"/>
                <w:b/>
                <w:bCs/>
                <w:color w:val="0E1E3A"/>
                <w:sz w:val="18"/>
                <w:szCs w:val="18"/>
                <w:rtl/>
              </w:rPr>
              <w:t>66,381,085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بعد خصم الوحدات المعاد شراؤها من قبل الصندوق بغرض إلغائها،</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54"/>
            <wp:cNvGraphicFramePr>
              <a:graphicFrameLocks noChangeAspect="1"/>
            </wp:cNvGraphicFramePr>
            <a:graphic>
              <a:graphicData uri="http://schemas.openxmlformats.org/drawingml/2006/picture">
                <pic:pic>
                  <pic:nvPicPr>
                    <pic:cNvPr id="0" name="ico_737e94dc9d8d67dbf235ae564951a5f7.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 خلال الربع المعني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 *</w:t>
            </w:r>
          </w:p>
        </w:tc>
        <w:tc>
          <w:tcPr>
            <w:tcW w:type="dxa" w:w="6860"/>
          </w:tcPr>
          <w:p>
            <w:pPr>
              <w:bidi w:val="1"/>
              <w:spacing w:before="0" w:after="0" w:line="276" w:lineRule="auto"/>
            </w:pPr>
            <w:r>
              <w:rPr>
                <w:rFonts w:ascii="Arial" w:hAnsi="Arial" w:cs="Arial" w:eastAsia="Arial"/>
                <w:b/>
                <w:bCs/>
                <w:color w:val="0E1E3A"/>
                <w:sz w:val="18"/>
                <w:szCs w:val="18"/>
                <w:rtl/>
              </w:rPr>
              <w:t xml:space="preserve">• يستهدف مدير الصندوق توزيع الأرباح بشكل نصف سنوي. ويشمل هذا التوزيع مانسبته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عوائد استثمارات الصندوق، وحتى </w:t>
            </w:r>
            <w:r>
              <w:rPr>
                <w:rFonts w:ascii="Arial" w:hAnsi="Arial" w:cs="Arial" w:eastAsia="Arial"/>
                <w:b/>
                <w:bCs/>
                <w:color w:val="0E1E3A"/>
                <w:sz w:val="18"/>
                <w:szCs w:val="18"/>
              </w:rPr>
              <w:t>‎50%‎</w:t>
            </w:r>
            <w:r>
              <w:rPr>
                <w:rFonts w:ascii="Arial" w:hAnsi="Arial" w:cs="Arial" w:eastAsia="Arial"/>
                <w:b/>
                <w:bCs/>
                <w:color w:val="0E1E3A"/>
                <w:sz w:val="18"/>
                <w:szCs w:val="18"/>
                <w:rtl/>
              </w:rPr>
              <w:t xml:space="preserve"> من صافي الأرباح الرأسمالية المحققة والغير محققة، وتخضع هذه التوزيعات لموافقة مجلس إدارة الصندوق.</w:t>
            </w:r>
            <w:r>
              <w:br/>
            </w:r>
            <w:r>
              <w:rPr>
                <w:rFonts w:ascii="Arial" w:hAnsi="Arial" w:cs="Arial" w:eastAsia="Arial"/>
                <w:b/>
                <w:bCs/>
                <w:color w:val="0E1E3A"/>
                <w:sz w:val="18"/>
                <w:szCs w:val="18"/>
                <w:rtl/>
              </w:rPr>
              <w:t>• يحق لمدير الصندوق وفق ما يراه مناسبا، إجراء توزيعات إضافية خلال السنة المالية، وتخضع هذه التوريعات الإضافية لموافقة مجلس إدارة الصندوق.</w:t>
            </w:r>
            <w:r>
              <w:br/>
            </w:r>
            <w:r>
              <w:rPr>
                <w:rFonts w:ascii="Arial" w:hAnsi="Arial" w:cs="Arial" w:eastAsia="Arial"/>
                <w:b/>
                <w:bCs/>
                <w:color w:val="0E1E3A"/>
                <w:sz w:val="18"/>
                <w:szCs w:val="18"/>
                <w:rtl/>
              </w:rPr>
              <w:t>• سيتم الإعلان عن التوزيعات (إن وجدت)، بحسب الضوابط التي تحددها هيئة السوق المالية من تاريخ إعلان ونشر التقرير الربع سنوي للصندوق من خلال موقع تداول السعودية، كما سيتم الإعلان عن تفاصيل التوزيعات على الموقع الإلكتروني لتداول السعودية www.saudiexchange.sa، وسيتم سداد التوزيعات (إن وجدت) خلال ثلاثين يوم عمل من تاريخ إعلان ونشر التقرير الربع سنوي للصندوق من خلال موقع تداول السعودية.</w:t>
            </w:r>
            <w:r>
              <w:br/>
            </w:r>
            <w:r>
              <w:rPr>
                <w:rFonts w:ascii="Arial" w:hAnsi="Arial" w:cs="Arial" w:eastAsia="Arial"/>
                <w:b/>
                <w:bCs/>
                <w:color w:val="0E1E3A"/>
                <w:sz w:val="18"/>
                <w:szCs w:val="18"/>
                <w:rtl/>
              </w:rPr>
              <w:t>• سوف يأخذ مدير الصندوق في عين الاعتبار قيم الأصول وسعر الوحدة ووضع السوق في حينه مع مراعاة نمو أصول الصندوق على المدى الطويل كي يبني القرار الأنسب من حيث التوزيع عن عدمه.</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خلال الربع المعني</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 السوقي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الأرباح المستلمة من الأسهم المدرجة التي يستثمر بها الصندوق</w:t>
            </w:r>
          </w:p>
        </w:tc>
        <w:tc>
          <w:tcPr>
            <w:tcW w:type="dxa" w:w="6860"/>
          </w:tcPr>
          <w:p>
            <w:pPr>
              <w:bidi w:val="1"/>
              <w:spacing w:before="0" w:after="0" w:line="276" w:lineRule="auto"/>
            </w:pPr>
            <w:r>
              <w:rPr>
                <w:rFonts w:ascii="Arial" w:hAnsi="Arial" w:cs="Arial" w:eastAsia="Arial"/>
                <w:b/>
                <w:bCs/>
                <w:color w:val="0E1E3A"/>
                <w:sz w:val="18"/>
                <w:szCs w:val="18"/>
                <w:rtl/>
              </w:rPr>
              <w:t>3,497,448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أرباح محققة من استثمارات الصندوق</w:t>
            </w:r>
          </w:p>
        </w:tc>
        <w:tc>
          <w:tcPr>
            <w:tcW w:type="dxa" w:w="6860"/>
          </w:tcPr>
          <w:p>
            <w:pPr>
              <w:bidi w:val="1"/>
              <w:spacing w:before="0" w:after="0" w:line="276" w:lineRule="auto"/>
            </w:pPr>
            <w:r>
              <w:rPr>
                <w:rFonts w:ascii="Arial" w:hAnsi="Arial" w:cs="Arial" w:eastAsia="Arial"/>
                <w:b/>
                <w:bCs/>
                <w:color w:val="0E1E3A"/>
                <w:sz w:val="18"/>
                <w:szCs w:val="18"/>
                <w:rtl/>
              </w:rPr>
              <w:t>11,671,839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أرباح غير محققة من استثمارات الصندوق</w:t>
            </w:r>
          </w:p>
        </w:tc>
        <w:tc>
          <w:tcPr>
            <w:tcW w:type="dxa" w:w="6860"/>
          </w:tcPr>
          <w:p>
            <w:pPr>
              <w:bidi w:val="1"/>
              <w:spacing w:before="0" w:after="0" w:line="276" w:lineRule="auto"/>
            </w:pPr>
            <w:r>
              <w:rPr>
                <w:rFonts w:ascii="Arial" w:hAnsi="Arial" w:cs="Arial" w:eastAsia="Arial"/>
                <w:b/>
                <w:bCs/>
                <w:color w:val="0E1E3A"/>
                <w:sz w:val="18"/>
                <w:szCs w:val="18"/>
                <w:rtl/>
              </w:rPr>
              <w:t>49,660,413.81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أرباح فروقات عملة أجنبية</w:t>
            </w:r>
          </w:p>
        </w:tc>
        <w:tc>
          <w:tcPr>
            <w:tcW w:type="dxa" w:w="6860"/>
          </w:tcPr>
          <w:p>
            <w:pPr>
              <w:bidi w:val="1"/>
              <w:spacing w:before="0" w:after="0" w:line="276" w:lineRule="auto"/>
            </w:pPr>
            <w:r>
              <w:rPr>
                <w:rFonts w:ascii="Arial" w:hAnsi="Arial" w:cs="Arial" w:eastAsia="Arial"/>
                <w:b/>
                <w:bCs/>
                <w:color w:val="0E1E3A"/>
                <w:sz w:val="18"/>
                <w:szCs w:val="18"/>
                <w:rtl/>
              </w:rPr>
              <w:t>385,381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w:t>
            </w:r>
          </w:p>
        </w:tc>
        <w:tc>
          <w:tcPr>
            <w:tcW w:type="dxa" w:w="6860"/>
          </w:tcPr>
          <w:p>
            <w:pPr>
              <w:bidi w:val="1"/>
              <w:spacing w:before="0" w:after="0" w:line="276" w:lineRule="auto"/>
            </w:pPr>
            <w:r>
              <w:rPr>
                <w:rFonts w:ascii="Arial" w:hAnsi="Arial" w:cs="Arial" w:eastAsia="Arial"/>
                <w:b/>
                <w:bCs/>
                <w:color w:val="0E1E3A"/>
                <w:sz w:val="18"/>
                <w:szCs w:val="18"/>
                <w:rtl/>
              </w:rPr>
              <w:t>65,215,082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 خل للربع المعني على سعر الوحدة كما في 30 يونيو 2025م</w:t>
            </w:r>
          </w:p>
        </w:tc>
        <w:tc>
          <w:tcPr>
            <w:tcW w:type="dxa" w:w="6860"/>
          </w:tcPr>
          <w:p>
            <w:pPr>
              <w:bidi w:val="1"/>
              <w:spacing w:before="0" w:after="0" w:line="276" w:lineRule="auto"/>
            </w:pPr>
            <w:r>
              <w:rPr>
                <w:rFonts w:ascii="Arial" w:hAnsi="Arial" w:cs="Arial" w:eastAsia="Arial"/>
                <w:b/>
                <w:bCs/>
                <w:color w:val="0E1E3A"/>
                <w:sz w:val="18"/>
                <w:szCs w:val="18"/>
              </w:rPr>
              <w:t>‎7.91%‎</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تم تحديث سياسة توزيع الأرباح بتاريخ 18 مايو 2025م وذلك بعد الحصول على موافقة هيئة السوق المالية.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5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مؤشر "الخبير للأسهم العالمية"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الصافي للصندوق منذ تاريخ البدء</w:t>
            </w:r>
          </w:p>
        </w:tc>
        <w:tc>
          <w:tcPr>
            <w:tcW w:type="dxa" w:w="6860"/>
          </w:tcPr>
          <w:p>
            <w:pPr>
              <w:bidi w:val="1"/>
              <w:spacing w:before="0" w:after="0" w:line="276" w:lineRule="auto"/>
            </w:pPr>
            <w:r>
              <w:rPr>
                <w:rFonts w:ascii="Arial" w:hAnsi="Arial" w:cs="Arial" w:eastAsia="Arial"/>
                <w:b/>
                <w:bCs/>
                <w:color w:val="0E1E3A"/>
                <w:sz w:val="18"/>
                <w:szCs w:val="18"/>
              </w:rPr>
              <w:t>‎45.11%‎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 (لآخر 12 شهرًا)</w:t>
            </w:r>
          </w:p>
        </w:tc>
        <w:tc>
          <w:tcPr>
            <w:tcW w:type="dxa" w:w="6860"/>
          </w:tcPr>
          <w:p>
            <w:pPr>
              <w:bidi w:val="1"/>
              <w:spacing w:before="0" w:after="0" w:line="276" w:lineRule="auto"/>
            </w:pPr>
            <w:r>
              <w:rPr>
                <w:rFonts w:ascii="Arial" w:hAnsi="Arial" w:cs="Arial" w:eastAsia="Arial"/>
                <w:b/>
                <w:bCs/>
                <w:color w:val="0E1E3A"/>
                <w:sz w:val="18"/>
                <w:szCs w:val="18"/>
                <w:rtl/>
              </w:rPr>
              <w:t>19.86x</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5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مؤشر "الخبير للأسهم العالمية"، وهو مؤشر تم إنشاؤه خصيصا لصالح الصندوق بالتعاون مع مقدم خدمة المؤشر، والذي سيقوم بحساب قيم الشركات المضمنة في المؤشر وإدارته لمصلحة الصندوق. ويشمل المؤشر شركات متنوعة القطاعات والأحجام في أكبر الأسواق المالية العالمية، بالإضافة إلى أكبر الشركات القيادية في المملكة العربية السعودية بعد فلترة الشركات بناء على قيمة سوقية تتجاوز 100 مليون دولار أمريكي، وقيمة متداولة تتجاوز مليون دولار أمريكي يوميا. ويشمل المؤشر 160 شركة عالمية، تمثل أكبر الأسواق المالية العالمية، بالإضافة إلى أكبر عشر شركات في المملكة العربية السعودية متوافقة مع ضوابط اللجنة الشرعية. وتم تقسيم الشركات العالمية بحسب القيم السوقية على ثلاث فئات: أكبر 70 شركة من حيث القيم السوقية للأسهم الحرة من ضمن الشركات ذات القيم السوقية الكبيرة، وأكبر 50 شركة من حيث القيم السوقية للأسهم الحرة من ضمن الشركات ذات القيم السوقية المتوسطة، وأكبر 40 شركة من حيث القيم السوقية للأسهم الحرة من ضمن الشركات ذات القيم السوقية الصغيرة.</w:t>
      </w:r>
    </w:p>
    <w:p>
      <w:pPr>
        <w:bidi w:val="1"/>
        <w:spacing w:before="0" w:after="80" w:line="312" w:lineRule="auto"/>
      </w:pPr>
      <w:r>
        <w:rPr>
          <w:rFonts w:ascii="Arial" w:hAnsi="Arial" w:cs="Arial" w:eastAsia="Arial"/>
          <w:color w:val="0E1E3A"/>
          <w:sz w:val="20"/>
          <w:szCs w:val="20"/>
          <w:rtl/>
        </w:rPr>
        <w:t xml:space="preserve">يتم تعريف الشركات ذات القيمة السوقية الكبيرة بأنها تلك الشركات التي تمثل أكبر قيمة سوقية، وهي الشركة من شريحة الشركات التي تمثل ما يصل إلى </w:t>
      </w:r>
      <w:r>
        <w:rPr>
          <w:rFonts w:ascii="Arial" w:hAnsi="Arial" w:cs="Arial" w:eastAsia="Arial"/>
          <w:color w:val="0E1E3A"/>
          <w:sz w:val="20"/>
          <w:szCs w:val="20"/>
        </w:rPr>
        <w:t>‎70%‎</w:t>
      </w:r>
      <w:r>
        <w:rPr>
          <w:rFonts w:ascii="Arial" w:hAnsi="Arial" w:cs="Arial" w:eastAsia="Arial"/>
          <w:color w:val="0E1E3A"/>
          <w:sz w:val="20"/>
          <w:szCs w:val="20"/>
          <w:rtl/>
        </w:rPr>
        <w:t xml:space="preserve"> من حجم قيم السوق مجتمعة، بينما تمثل شريحة الشركات متوسطة القيمة السوقية ما يتراوح بين أكثر من </w:t>
      </w:r>
      <w:r>
        <w:rPr>
          <w:rFonts w:ascii="Arial" w:hAnsi="Arial" w:cs="Arial" w:eastAsia="Arial"/>
          <w:color w:val="0E1E3A"/>
          <w:sz w:val="20"/>
          <w:szCs w:val="20"/>
        </w:rPr>
        <w:t>‎70%‎</w:t>
      </w:r>
      <w:r>
        <w:rPr>
          <w:rFonts w:ascii="Arial" w:hAnsi="Arial" w:cs="Arial" w:eastAsia="Arial"/>
          <w:color w:val="0E1E3A"/>
          <w:sz w:val="20"/>
          <w:szCs w:val="20"/>
          <w:rtl/>
        </w:rPr>
        <w:t xml:space="preserve"> وبين ما يصل إلى </w:t>
      </w:r>
      <w:r>
        <w:rPr>
          <w:rFonts w:ascii="Arial" w:hAnsi="Arial" w:cs="Arial" w:eastAsia="Arial"/>
          <w:color w:val="0E1E3A"/>
          <w:sz w:val="20"/>
          <w:szCs w:val="20"/>
        </w:rPr>
        <w:t>‎85%‎</w:t>
      </w:r>
      <w:r>
        <w:rPr>
          <w:rFonts w:ascii="Arial" w:hAnsi="Arial" w:cs="Arial" w:eastAsia="Arial"/>
          <w:color w:val="0E1E3A"/>
          <w:sz w:val="20"/>
          <w:szCs w:val="20"/>
          <w:rtl/>
        </w:rPr>
        <w:t xml:space="preserve"> من حجم قيم السوق مجتمعة، وتمثل شريحة الشركات صغيرة حجم القيمة السوقية ما يتراوح بين أكثر من </w:t>
      </w:r>
      <w:r>
        <w:rPr>
          <w:rFonts w:ascii="Arial" w:hAnsi="Arial" w:cs="Arial" w:eastAsia="Arial"/>
          <w:color w:val="0E1E3A"/>
          <w:sz w:val="20"/>
          <w:szCs w:val="20"/>
        </w:rPr>
        <w:t>‎85%‎</w:t>
      </w:r>
      <w:r>
        <w:rPr>
          <w:rFonts w:ascii="Arial" w:hAnsi="Arial" w:cs="Arial" w:eastAsia="Arial"/>
          <w:color w:val="0E1E3A"/>
          <w:sz w:val="20"/>
          <w:szCs w:val="20"/>
          <w:rtl/>
        </w:rPr>
        <w:t xml:space="preserve">، حتى ما يصل إلى </w:t>
      </w:r>
      <w:r>
        <w:rPr>
          <w:rFonts w:ascii="Arial" w:hAnsi="Arial" w:cs="Arial" w:eastAsia="Arial"/>
          <w:color w:val="0E1E3A"/>
          <w:sz w:val="20"/>
          <w:szCs w:val="20"/>
        </w:rPr>
        <w:t>‎100%‎</w:t>
      </w:r>
      <w:r>
        <w:rPr>
          <w:rFonts w:ascii="Arial" w:hAnsi="Arial" w:cs="Arial" w:eastAsia="Arial"/>
          <w:color w:val="0E1E3A"/>
          <w:sz w:val="20"/>
          <w:szCs w:val="20"/>
          <w:rtl/>
        </w:rPr>
        <w:t xml:space="preserve"> من حجم قيم السوق مجتمعة.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57"/>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للنمو والدخل المتداول"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مؤشر "الخبير للأسهم العالمية"</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11.3847 رس.</w:t>
            </w:r>
          </w:p>
        </w:tc>
        <w:tc>
          <w:tcPr>
            <w:tcW w:type="dxa" w:w="3326"/>
          </w:tcPr>
          <w:p>
            <w:pPr>
              <w:bidi w:val="1"/>
              <w:spacing w:before="0" w:after="0" w:line="264" w:lineRule="auto"/>
            </w:pPr>
            <w:r>
              <w:rPr>
                <w:rFonts w:ascii="Arial" w:hAnsi="Arial" w:cs="Arial" w:eastAsia="Arial"/>
                <w:color w:val="0E1E3A"/>
                <w:sz w:val="17"/>
                <w:szCs w:val="17"/>
                <w:rtl/>
              </w:rPr>
              <w:t>114.5603</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12.4216 رس.</w:t>
            </w:r>
          </w:p>
        </w:tc>
        <w:tc>
          <w:tcPr>
            <w:tcW w:type="dxa" w:w="3326"/>
          </w:tcPr>
          <w:p>
            <w:pPr>
              <w:bidi w:val="1"/>
              <w:spacing w:before="0" w:after="0" w:line="264" w:lineRule="auto"/>
            </w:pPr>
            <w:r>
              <w:rPr>
                <w:rFonts w:ascii="Arial" w:hAnsi="Arial" w:cs="Arial" w:eastAsia="Arial"/>
                <w:color w:val="0E1E3A"/>
                <w:sz w:val="17"/>
                <w:szCs w:val="17"/>
                <w:rtl/>
              </w:rPr>
              <w:t>125.9237</w:t>
            </w:r>
          </w:p>
        </w:tc>
      </w:tr>
      <w:tr>
        <w:tc>
          <w:tcPr>
            <w:tcW w:type="dxa" w:w="3326"/>
          </w:tcPr>
          <w:p>
            <w:pPr>
              <w:bidi w:val="1"/>
              <w:spacing w:before="0" w:after="0" w:line="264" w:lineRule="auto"/>
            </w:pPr>
            <w:r>
              <w:rPr>
                <w:rFonts w:ascii="Arial" w:hAnsi="Arial" w:cs="Arial" w:eastAsia="Arial"/>
                <w:color w:val="0E1E3A"/>
                <w:sz w:val="17"/>
                <w:szCs w:val="17"/>
                <w:rtl/>
              </w:rPr>
              <w:t>أداء الوحدة *</w:t>
            </w:r>
          </w:p>
        </w:tc>
        <w:tc>
          <w:tcPr>
            <w:tcW w:type="dxa" w:w="3326"/>
          </w:tcPr>
          <w:p>
            <w:pPr>
              <w:bidi w:val="1"/>
              <w:spacing w:before="0" w:after="0" w:line="264" w:lineRule="auto"/>
            </w:pPr>
            <w:r>
              <w:rPr>
                <w:rFonts w:ascii="Arial" w:hAnsi="Arial" w:cs="Arial" w:eastAsia="Arial"/>
                <w:color w:val="0E1E3A"/>
                <w:sz w:val="17"/>
                <w:szCs w:val="17"/>
              </w:rPr>
              <w:t>‎9.11%‎</w:t>
            </w:r>
          </w:p>
        </w:tc>
        <w:tc>
          <w:tcPr>
            <w:tcW w:type="dxa" w:w="3326"/>
          </w:tcPr>
          <w:p>
            <w:pPr>
              <w:bidi w:val="1"/>
              <w:spacing w:before="0" w:after="0" w:line="264" w:lineRule="auto"/>
            </w:pPr>
            <w:r>
              <w:rPr>
                <w:rFonts w:ascii="Arial" w:hAnsi="Arial" w:cs="Arial" w:eastAsia="Arial"/>
                <w:color w:val="0E1E3A"/>
                <w:sz w:val="17"/>
                <w:szCs w:val="17"/>
              </w:rPr>
              <w:t>‎9.92%‎</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أداء صافي قيمة الوحدة والتي لا تشمل توزيع الأرباح للفترة المحددة.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5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59"/>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لصافي قيمة الوحدة "أداء الصندوق" *</w:t>
            </w:r>
          </w:p>
        </w:tc>
        <w:tc>
          <w:tcPr>
            <w:tcW w:type="dxa" w:w="1663"/>
          </w:tcPr>
          <w:p>
            <w:pPr>
              <w:bidi w:val="1"/>
              <w:spacing w:before="0" w:after="0" w:line="264" w:lineRule="auto"/>
            </w:pPr>
            <w:r>
              <w:rPr>
                <w:rFonts w:ascii="Arial" w:hAnsi="Arial" w:cs="Arial" w:eastAsia="Arial"/>
                <w:color w:val="0E1E3A"/>
                <w:sz w:val="17"/>
                <w:szCs w:val="17"/>
              </w:rPr>
              <w:t>‎9.11%‎</w:t>
            </w:r>
          </w:p>
        </w:tc>
        <w:tc>
          <w:tcPr>
            <w:tcW w:type="dxa" w:w="1663"/>
          </w:tcPr>
          <w:p>
            <w:pPr>
              <w:bidi w:val="1"/>
              <w:spacing w:before="0" w:after="0" w:line="264" w:lineRule="auto"/>
            </w:pPr>
            <w:r>
              <w:rPr>
                <w:rFonts w:ascii="Arial" w:hAnsi="Arial" w:cs="Arial" w:eastAsia="Arial"/>
                <w:color w:val="0E1E3A"/>
                <w:sz w:val="17"/>
                <w:szCs w:val="17"/>
              </w:rPr>
              <w:t>‎7.34%‎</w:t>
            </w:r>
          </w:p>
        </w:tc>
        <w:tc>
          <w:tcPr>
            <w:tcW w:type="dxa" w:w="1663"/>
          </w:tcPr>
          <w:p>
            <w:pPr>
              <w:bidi w:val="1"/>
              <w:spacing w:before="0" w:after="0" w:line="264" w:lineRule="auto"/>
            </w:pPr>
            <w:r>
              <w:rPr>
                <w:rFonts w:ascii="Arial" w:hAnsi="Arial" w:cs="Arial" w:eastAsia="Arial"/>
                <w:color w:val="0E1E3A"/>
                <w:sz w:val="17"/>
                <w:szCs w:val="17"/>
              </w:rPr>
              <w:t>‎7.79%‎</w:t>
            </w:r>
          </w:p>
        </w:tc>
        <w:tc>
          <w:tcPr>
            <w:tcW w:type="dxa" w:w="1663"/>
          </w:tcPr>
          <w:p>
            <w:pPr>
              <w:bidi w:val="1"/>
              <w:spacing w:before="0" w:after="0" w:line="264" w:lineRule="auto"/>
            </w:pPr>
            <w:r>
              <w:rPr>
                <w:rFonts w:ascii="Arial" w:hAnsi="Arial" w:cs="Arial" w:eastAsia="Arial"/>
                <w:color w:val="0E1E3A"/>
                <w:sz w:val="17"/>
                <w:szCs w:val="17"/>
              </w:rPr>
              <w:t>‎55.01%‎</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‎9.92%‎</w:t>
            </w:r>
          </w:p>
        </w:tc>
        <w:tc>
          <w:tcPr>
            <w:tcW w:type="dxa" w:w="1663"/>
          </w:tcPr>
          <w:p>
            <w:pPr>
              <w:bidi w:val="1"/>
              <w:spacing w:before="0" w:after="0" w:line="264" w:lineRule="auto"/>
            </w:pPr>
            <w:r>
              <w:rPr>
                <w:rFonts w:ascii="Arial" w:hAnsi="Arial" w:cs="Arial" w:eastAsia="Arial"/>
                <w:color w:val="0E1E3A"/>
                <w:sz w:val="17"/>
                <w:szCs w:val="17"/>
              </w:rPr>
              <w:t>‎6.00%‎</w:t>
            </w:r>
          </w:p>
        </w:tc>
        <w:tc>
          <w:tcPr>
            <w:tcW w:type="dxa" w:w="1663"/>
          </w:tcPr>
          <w:p>
            <w:pPr>
              <w:bidi w:val="1"/>
              <w:spacing w:before="0" w:after="0" w:line="264" w:lineRule="auto"/>
            </w:pPr>
            <w:r>
              <w:rPr>
                <w:rFonts w:ascii="Arial" w:hAnsi="Arial" w:cs="Arial" w:eastAsia="Arial"/>
                <w:color w:val="0E1E3A"/>
                <w:sz w:val="17"/>
                <w:szCs w:val="17"/>
              </w:rPr>
              <w:t>‎5.78%‎</w:t>
            </w:r>
          </w:p>
        </w:tc>
        <w:tc>
          <w:tcPr>
            <w:tcW w:type="dxa" w:w="1663"/>
          </w:tcPr>
          <w:p>
            <w:pPr>
              <w:bidi w:val="1"/>
              <w:spacing w:before="0" w:after="0" w:line="264" w:lineRule="auto"/>
            </w:pPr>
            <w:r>
              <w:rPr>
                <w:rFonts w:ascii="Arial" w:hAnsi="Arial" w:cs="Arial" w:eastAsia="Arial"/>
                <w:color w:val="0E1E3A"/>
                <w:sz w:val="17"/>
                <w:szCs w:val="17"/>
              </w:rPr>
              <w:t>‎44.17%‎</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‎-0.81%‎</w:t>
            </w:r>
          </w:p>
        </w:tc>
        <w:tc>
          <w:tcPr>
            <w:tcW w:type="dxa" w:w="1663"/>
          </w:tcPr>
          <w:p>
            <w:pPr>
              <w:bidi w:val="1"/>
              <w:spacing w:before="0" w:after="0" w:line="264" w:lineRule="auto"/>
            </w:pPr>
            <w:r>
              <w:rPr>
                <w:rFonts w:ascii="Arial" w:hAnsi="Arial" w:cs="Arial" w:eastAsia="Arial"/>
                <w:color w:val="0E1E3A"/>
                <w:sz w:val="17"/>
                <w:szCs w:val="17"/>
              </w:rPr>
              <w:t>‎1.34%‎</w:t>
            </w:r>
          </w:p>
        </w:tc>
        <w:tc>
          <w:tcPr>
            <w:tcW w:type="dxa" w:w="1663"/>
          </w:tcPr>
          <w:p>
            <w:pPr>
              <w:bidi w:val="1"/>
              <w:spacing w:before="0" w:after="0" w:line="264" w:lineRule="auto"/>
            </w:pPr>
            <w:r>
              <w:rPr>
                <w:rFonts w:ascii="Arial" w:hAnsi="Arial" w:cs="Arial" w:eastAsia="Arial"/>
                <w:color w:val="0E1E3A"/>
                <w:sz w:val="17"/>
                <w:szCs w:val="17"/>
              </w:rPr>
              <w:t>‎2.01%‎</w:t>
            </w:r>
          </w:p>
        </w:tc>
        <w:tc>
          <w:tcPr>
            <w:tcW w:type="dxa" w:w="1663"/>
          </w:tcPr>
          <w:p>
            <w:pPr>
              <w:bidi w:val="1"/>
              <w:spacing w:before="0" w:after="0" w:line="264" w:lineRule="auto"/>
            </w:pPr>
            <w:r>
              <w:rPr>
                <w:rFonts w:ascii="Arial" w:hAnsi="Arial" w:cs="Arial" w:eastAsia="Arial"/>
                <w:color w:val="0E1E3A"/>
                <w:sz w:val="17"/>
                <w:szCs w:val="17"/>
              </w:rPr>
              <w:t>‎10.84%‎</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العائد الكلي = أداء صافي قيمة الوحدة بالإضافة إلى الأرباح الموزعة.</w:t>
      </w:r>
      <w:r>
        <w:br/>
      </w:r>
      <w:r>
        <w:rPr>
          <w:rFonts w:ascii="Arial" w:hAnsi="Arial" w:cs="Arial" w:eastAsia="Arial"/>
          <w:color w:val="5A6478"/>
          <w:sz w:val="17"/>
          <w:szCs w:val="17"/>
          <w:rtl/>
        </w:rPr>
        <w:t>** عن الفترة من 31 ديسيمبر 2024م إلى 30 يونيو 2025م.</w:t>
      </w:r>
      <w:r>
        <w:br/>
      </w:r>
      <w:r>
        <w:rPr>
          <w:rFonts w:ascii="Arial" w:hAnsi="Arial" w:cs="Arial" w:eastAsia="Arial"/>
          <w:color w:val="5A6478"/>
          <w:sz w:val="17"/>
          <w:szCs w:val="17"/>
          <w:rtl/>
        </w:rPr>
        <w:t>*** عن الفترة من 30 يونيو 2024م إلى 30 يونيو 2025م متضمنة توزيعات نقدية بقيمة 0.785 رس (0.185 +0.60).</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60"/>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 1</w:t>
            </w:r>
          </w:p>
        </w:tc>
        <w:tc>
          <w:tcPr>
            <w:tcW w:type="dxa" w:w="1663"/>
          </w:tcPr>
          <w:p>
            <w:pPr>
              <w:bidi w:val="1"/>
              <w:spacing w:before="0" w:after="0" w:line="264" w:lineRule="auto"/>
            </w:pPr>
            <w:r>
              <w:rPr>
                <w:rFonts w:ascii="Arial" w:hAnsi="Arial" w:cs="Arial" w:eastAsia="Arial"/>
                <w:color w:val="0E1E3A"/>
                <w:sz w:val="17"/>
                <w:szCs w:val="17"/>
                <w:rtl/>
              </w:rPr>
              <w:t>22.41</w:t>
            </w:r>
          </w:p>
        </w:tc>
        <w:tc>
          <w:tcPr>
            <w:tcW w:type="dxa" w:w="1663"/>
          </w:tcPr>
          <w:p>
            <w:pPr>
              <w:bidi w:val="1"/>
              <w:spacing w:before="0" w:after="0" w:line="264" w:lineRule="auto"/>
            </w:pPr>
            <w:r>
              <w:rPr>
                <w:rFonts w:ascii="Arial" w:hAnsi="Arial" w:cs="Arial" w:eastAsia="Arial"/>
                <w:color w:val="0E1E3A"/>
                <w:sz w:val="17"/>
                <w:szCs w:val="17"/>
                <w:rtl/>
              </w:rPr>
              <w:t>18.69</w:t>
            </w:r>
          </w:p>
        </w:tc>
        <w:tc>
          <w:tcPr>
            <w:tcW w:type="dxa" w:w="1663"/>
          </w:tcPr>
          <w:p>
            <w:pPr>
              <w:bidi w:val="1"/>
              <w:spacing w:before="0" w:after="0" w:line="264" w:lineRule="auto"/>
            </w:pPr>
            <w:r>
              <w:rPr>
                <w:rFonts w:ascii="Arial" w:hAnsi="Arial" w:cs="Arial" w:eastAsia="Arial"/>
                <w:color w:val="0E1E3A"/>
                <w:sz w:val="17"/>
                <w:szCs w:val="17"/>
                <w:rtl/>
              </w:rPr>
              <w:t>17.12</w:t>
            </w:r>
          </w:p>
        </w:tc>
        <w:tc>
          <w:tcPr>
            <w:tcW w:type="dxa" w:w="1663"/>
          </w:tcPr>
          <w:p>
            <w:pPr>
              <w:bidi w:val="1"/>
              <w:spacing w:before="0" w:after="0" w:line="264" w:lineRule="auto"/>
            </w:pPr>
            <w:r>
              <w:rPr>
                <w:rFonts w:ascii="Arial" w:hAnsi="Arial" w:cs="Arial" w:eastAsia="Arial"/>
                <w:color w:val="0E1E3A"/>
                <w:sz w:val="17"/>
                <w:szCs w:val="17"/>
                <w:rtl/>
              </w:rPr>
              <w:t>13.21</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 2</w:t>
            </w:r>
          </w:p>
        </w:tc>
        <w:tc>
          <w:tcPr>
            <w:tcW w:type="dxa" w:w="1663"/>
          </w:tcPr>
          <w:p>
            <w:pPr>
              <w:bidi w:val="1"/>
              <w:spacing w:before="0" w:after="0" w:line="264" w:lineRule="auto"/>
            </w:pPr>
            <w:r>
              <w:rPr>
                <w:rFonts w:ascii="Arial" w:hAnsi="Arial" w:cs="Arial" w:eastAsia="Arial"/>
                <w:color w:val="0E1E3A"/>
                <w:sz w:val="17"/>
                <w:szCs w:val="17"/>
                <w:rtl/>
              </w:rPr>
              <w:t>1.69</w:t>
            </w:r>
          </w:p>
        </w:tc>
        <w:tc>
          <w:tcPr>
            <w:tcW w:type="dxa" w:w="1663"/>
          </w:tcPr>
          <w:p>
            <w:pPr>
              <w:bidi w:val="1"/>
              <w:spacing w:before="0" w:after="0" w:line="264" w:lineRule="auto"/>
            </w:pPr>
            <w:r>
              <w:rPr>
                <w:rFonts w:ascii="Arial" w:hAnsi="Arial" w:cs="Arial" w:eastAsia="Arial"/>
                <w:color w:val="0E1E3A"/>
                <w:sz w:val="17"/>
                <w:szCs w:val="17"/>
                <w:rtl/>
              </w:rPr>
              <w:t>0.58</w:t>
            </w:r>
          </w:p>
        </w:tc>
        <w:tc>
          <w:tcPr>
            <w:tcW w:type="dxa" w:w="1663"/>
          </w:tcPr>
          <w:p>
            <w:pPr>
              <w:bidi w:val="1"/>
              <w:spacing w:before="0" w:after="0" w:line="264" w:lineRule="auto"/>
            </w:pPr>
            <w:r>
              <w:rPr>
                <w:rFonts w:ascii="Arial" w:hAnsi="Arial" w:cs="Arial" w:eastAsia="Arial"/>
                <w:color w:val="0E1E3A"/>
                <w:sz w:val="17"/>
                <w:szCs w:val="17"/>
                <w:rtl/>
              </w:rPr>
              <w:t>0.21</w:t>
            </w:r>
          </w:p>
        </w:tc>
        <w:tc>
          <w:tcPr>
            <w:tcW w:type="dxa" w:w="1663"/>
          </w:tcPr>
          <w:p>
            <w:pPr>
              <w:bidi w:val="1"/>
              <w:spacing w:before="0" w:after="0" w:line="264" w:lineRule="auto"/>
            </w:pPr>
            <w:r>
              <w:rPr>
                <w:rFonts w:ascii="Arial" w:hAnsi="Arial" w:cs="Arial" w:eastAsia="Arial"/>
                <w:color w:val="0E1E3A"/>
                <w:sz w:val="17"/>
                <w:szCs w:val="17"/>
                <w:rtl/>
              </w:rPr>
              <w:t>0.62</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3</w:t>
            </w:r>
          </w:p>
        </w:tc>
        <w:tc>
          <w:tcPr>
            <w:tcW w:type="dxa" w:w="1663"/>
          </w:tcPr>
          <w:p>
            <w:pPr>
              <w:bidi w:val="1"/>
              <w:spacing w:before="0" w:after="0" w:line="264" w:lineRule="auto"/>
            </w:pPr>
            <w:r>
              <w:rPr>
                <w:rFonts w:ascii="Arial" w:hAnsi="Arial" w:cs="Arial" w:eastAsia="Arial"/>
                <w:color w:val="0E1E3A"/>
                <w:sz w:val="17"/>
                <w:szCs w:val="17"/>
                <w:rtl/>
              </w:rPr>
              <w:t>4.68</w:t>
            </w:r>
          </w:p>
        </w:tc>
        <w:tc>
          <w:tcPr>
            <w:tcW w:type="dxa" w:w="1663"/>
          </w:tcPr>
          <w:p>
            <w:pPr>
              <w:bidi w:val="1"/>
              <w:spacing w:before="0" w:after="0" w:line="264" w:lineRule="auto"/>
            </w:pPr>
            <w:r>
              <w:rPr>
                <w:rFonts w:ascii="Arial" w:hAnsi="Arial" w:cs="Arial" w:eastAsia="Arial"/>
                <w:color w:val="0E1E3A"/>
                <w:sz w:val="17"/>
                <w:szCs w:val="17"/>
                <w:rtl/>
              </w:rPr>
              <w:t>4.45</w:t>
            </w:r>
          </w:p>
        </w:tc>
        <w:tc>
          <w:tcPr>
            <w:tcW w:type="dxa" w:w="1663"/>
          </w:tcPr>
          <w:p>
            <w:pPr>
              <w:bidi w:val="1"/>
              <w:spacing w:before="0" w:after="0" w:line="264" w:lineRule="auto"/>
            </w:pPr>
            <w:r>
              <w:rPr>
                <w:rFonts w:ascii="Arial" w:hAnsi="Arial" w:cs="Arial" w:eastAsia="Arial"/>
                <w:color w:val="0E1E3A"/>
                <w:sz w:val="17"/>
                <w:szCs w:val="17"/>
                <w:rtl/>
              </w:rPr>
              <w:t>8.11</w:t>
            </w:r>
          </w:p>
        </w:tc>
        <w:tc>
          <w:tcPr>
            <w:tcW w:type="dxa" w:w="1663"/>
          </w:tcPr>
          <w:p>
            <w:pPr>
              <w:bidi w:val="1"/>
              <w:spacing w:before="0" w:after="0" w:line="264" w:lineRule="auto"/>
            </w:pPr>
            <w:r>
              <w:rPr>
                <w:rFonts w:ascii="Arial" w:hAnsi="Arial" w:cs="Arial" w:eastAsia="Arial"/>
                <w:color w:val="0E1E3A"/>
                <w:sz w:val="17"/>
                <w:szCs w:val="17"/>
                <w:rtl/>
              </w:rPr>
              <w:t>8.27</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 4</w:t>
            </w:r>
          </w:p>
        </w:tc>
        <w:tc>
          <w:tcPr>
            <w:tcW w:type="dxa" w:w="1663"/>
          </w:tcPr>
          <w:p>
            <w:pPr>
              <w:bidi w:val="1"/>
              <w:spacing w:before="0" w:after="0" w:line="264" w:lineRule="auto"/>
            </w:pPr>
            <w:r>
              <w:rPr>
                <w:rFonts w:ascii="Arial" w:hAnsi="Arial" w:cs="Arial" w:eastAsia="Arial"/>
                <w:color w:val="0E1E3A"/>
                <w:sz w:val="17"/>
                <w:szCs w:val="17"/>
                <w:rtl/>
              </w:rPr>
              <w:t>0.97</w:t>
            </w:r>
          </w:p>
        </w:tc>
        <w:tc>
          <w:tcPr>
            <w:tcW w:type="dxa" w:w="1663"/>
          </w:tcPr>
          <w:p>
            <w:pPr>
              <w:bidi w:val="1"/>
              <w:spacing w:before="0" w:after="0" w:line="264" w:lineRule="auto"/>
            </w:pPr>
            <w:r>
              <w:rPr>
                <w:rFonts w:ascii="Arial" w:hAnsi="Arial" w:cs="Arial" w:eastAsia="Arial"/>
                <w:color w:val="0E1E3A"/>
                <w:sz w:val="17"/>
                <w:szCs w:val="17"/>
                <w:rtl/>
              </w:rPr>
              <w:t>0.95</w:t>
            </w:r>
          </w:p>
        </w:tc>
        <w:tc>
          <w:tcPr>
            <w:tcW w:type="dxa" w:w="1663"/>
          </w:tcPr>
          <w:p>
            <w:pPr>
              <w:bidi w:val="1"/>
              <w:spacing w:before="0" w:after="0" w:line="264" w:lineRule="auto"/>
            </w:pPr>
            <w:r>
              <w:rPr>
                <w:rFonts w:ascii="Arial" w:hAnsi="Arial" w:cs="Arial" w:eastAsia="Arial"/>
                <w:color w:val="0E1E3A"/>
                <w:sz w:val="17"/>
                <w:szCs w:val="17"/>
                <w:rtl/>
              </w:rPr>
              <w:t>0.94</w:t>
            </w:r>
          </w:p>
        </w:tc>
        <w:tc>
          <w:tcPr>
            <w:tcW w:type="dxa" w:w="1663"/>
          </w:tcPr>
          <w:p>
            <w:pPr>
              <w:bidi w:val="1"/>
              <w:spacing w:before="0" w:after="0" w:line="264" w:lineRule="auto"/>
            </w:pPr>
            <w:r>
              <w:rPr>
                <w:rFonts w:ascii="Arial" w:hAnsi="Arial" w:cs="Arial" w:eastAsia="Arial"/>
                <w:color w:val="0E1E3A"/>
                <w:sz w:val="17"/>
                <w:szCs w:val="17"/>
                <w:rtl/>
              </w:rPr>
              <w:t>0.80</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 5</w:t>
            </w:r>
          </w:p>
        </w:tc>
        <w:tc>
          <w:tcPr>
            <w:tcW w:type="dxa" w:w="1663"/>
          </w:tcPr>
          <w:p>
            <w:pPr>
              <w:bidi w:val="1"/>
              <w:spacing w:before="0" w:after="0" w:line="264" w:lineRule="auto"/>
            </w:pPr>
            <w:r>
              <w:rPr>
                <w:rFonts w:ascii="Arial" w:hAnsi="Arial" w:cs="Arial" w:eastAsia="Arial"/>
                <w:color w:val="0E1E3A"/>
                <w:sz w:val="17"/>
                <w:szCs w:val="17"/>
                <w:rtl/>
              </w:rPr>
              <w:t>-0.02</w:t>
            </w:r>
          </w:p>
        </w:tc>
        <w:tc>
          <w:tcPr>
            <w:tcW w:type="dxa" w:w="1663"/>
          </w:tcPr>
          <w:p>
            <w:pPr>
              <w:bidi w:val="1"/>
              <w:spacing w:before="0" w:after="0" w:line="264" w:lineRule="auto"/>
            </w:pPr>
            <w:r>
              <w:rPr>
                <w:rFonts w:ascii="Arial" w:hAnsi="Arial" w:cs="Arial" w:eastAsia="Arial"/>
                <w:color w:val="0E1E3A"/>
                <w:sz w:val="17"/>
                <w:szCs w:val="17"/>
                <w:rtl/>
              </w:rPr>
              <w:t>0.02</w:t>
            </w:r>
          </w:p>
        </w:tc>
        <w:tc>
          <w:tcPr>
            <w:tcW w:type="dxa" w:w="1663"/>
          </w:tcPr>
          <w:p>
            <w:pPr>
              <w:bidi w:val="1"/>
              <w:spacing w:before="0" w:after="0" w:line="264" w:lineRule="auto"/>
            </w:pPr>
            <w:r>
              <w:rPr>
                <w:rFonts w:ascii="Arial" w:hAnsi="Arial" w:cs="Arial" w:eastAsia="Arial"/>
                <w:color w:val="0E1E3A"/>
                <w:sz w:val="17"/>
                <w:szCs w:val="17"/>
                <w:rtl/>
              </w:rPr>
              <w:t>0.02</w:t>
            </w:r>
          </w:p>
        </w:tc>
        <w:tc>
          <w:tcPr>
            <w:tcW w:type="dxa" w:w="1663"/>
          </w:tcPr>
          <w:p>
            <w:pPr>
              <w:bidi w:val="1"/>
              <w:spacing w:before="0" w:after="0" w:line="264" w:lineRule="auto"/>
            </w:pPr>
            <w:r>
              <w:rPr>
                <w:rFonts w:ascii="Arial" w:hAnsi="Arial" w:cs="Arial" w:eastAsia="Arial"/>
                <w:color w:val="0E1E3A"/>
                <w:sz w:val="17"/>
                <w:szCs w:val="17"/>
                <w:rtl/>
              </w:rPr>
              <w:t>0.02</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 6</w:t>
            </w:r>
          </w:p>
        </w:tc>
        <w:tc>
          <w:tcPr>
            <w:tcW w:type="dxa" w:w="1663"/>
          </w:tcPr>
          <w:p>
            <w:pPr>
              <w:bidi w:val="1"/>
              <w:spacing w:before="0" w:after="0" w:line="264" w:lineRule="auto"/>
            </w:pPr>
            <w:r>
              <w:rPr>
                <w:rFonts w:ascii="Arial" w:hAnsi="Arial" w:cs="Arial" w:eastAsia="Arial"/>
                <w:color w:val="0E1E3A"/>
                <w:sz w:val="17"/>
                <w:szCs w:val="17"/>
                <w:rtl/>
              </w:rPr>
              <w:t>-0.50</w:t>
            </w:r>
          </w:p>
        </w:tc>
        <w:tc>
          <w:tcPr>
            <w:tcW w:type="dxa" w:w="1663"/>
          </w:tcPr>
          <w:p>
            <w:pPr>
              <w:bidi w:val="1"/>
              <w:spacing w:before="0" w:after="0" w:line="264" w:lineRule="auto"/>
            </w:pPr>
            <w:r>
              <w:rPr>
                <w:rFonts w:ascii="Arial" w:hAnsi="Arial" w:cs="Arial" w:eastAsia="Arial"/>
                <w:color w:val="0E1E3A"/>
                <w:sz w:val="17"/>
                <w:szCs w:val="17"/>
                <w:rtl/>
              </w:rPr>
              <w:t>0.52</w:t>
            </w:r>
          </w:p>
        </w:tc>
        <w:tc>
          <w:tcPr>
            <w:tcW w:type="dxa" w:w="1663"/>
          </w:tcPr>
          <w:p>
            <w:pPr>
              <w:bidi w:val="1"/>
              <w:spacing w:before="0" w:after="0" w:line="264" w:lineRule="auto"/>
            </w:pPr>
            <w:r>
              <w:rPr>
                <w:rFonts w:ascii="Arial" w:hAnsi="Arial" w:cs="Arial" w:eastAsia="Arial"/>
                <w:color w:val="0E1E3A"/>
                <w:sz w:val="17"/>
                <w:szCs w:val="17"/>
                <w:rtl/>
              </w:rPr>
              <w:t>0.27</w:t>
            </w:r>
          </w:p>
        </w:tc>
        <w:tc>
          <w:tcPr>
            <w:tcW w:type="dxa" w:w="1663"/>
          </w:tcPr>
          <w:p>
            <w:pPr>
              <w:bidi w:val="1"/>
              <w:spacing w:before="0" w:after="0" w:line="264" w:lineRule="auto"/>
            </w:pPr>
            <w:r>
              <w:rPr>
                <w:rFonts w:ascii="Arial" w:hAnsi="Arial" w:cs="Arial" w:eastAsia="Arial"/>
                <w:color w:val="0E1E3A"/>
                <w:sz w:val="17"/>
                <w:szCs w:val="17"/>
                <w:rtl/>
              </w:rPr>
              <w:t>0.25</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الانحراف المعياري هو مقياس للمخاطر، ويتم حسابه على أنه التذبذب بين العوائد على مدى فترة زمنية. وكلما انخفض التقلب، كانت مجموعة العوائد أكثر تجانسا.</w:t>
      </w:r>
      <w:r>
        <w:br/>
      </w:r>
      <w:r>
        <w:rPr>
          <w:rFonts w:ascii="Arial" w:hAnsi="Arial" w:cs="Arial" w:eastAsia="Arial"/>
          <w:color w:val="5A6478"/>
          <w:sz w:val="17"/>
          <w:szCs w:val="17"/>
          <w:rtl/>
        </w:rPr>
        <w:t>2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أداؤه حسب المخاطر أفضل.</w:t>
      </w:r>
      <w:r>
        <w:br/>
      </w:r>
      <w:r>
        <w:rPr>
          <w:rFonts w:ascii="Arial" w:hAnsi="Arial" w:cs="Arial" w:eastAsia="Arial"/>
          <w:color w:val="5A6478"/>
          <w:sz w:val="17"/>
          <w:szCs w:val="17"/>
          <w:rtl/>
        </w:rPr>
        <w:t>3 خطأ التتبع هو مقياس للمخاطر ويتم حسابه على أنه الانحراف المعياري بين عائد مدير الصندوق وعائد المؤشر. وكلما انخفض خطأ التتبع، كلما انحرف مدير الصندوق عن المؤشر.</w:t>
      </w:r>
      <w:r>
        <w:br/>
      </w:r>
      <w:r>
        <w:rPr>
          <w:rFonts w:ascii="Arial" w:hAnsi="Arial" w:cs="Arial" w:eastAsia="Arial"/>
          <w:color w:val="5A6478"/>
          <w:sz w:val="17"/>
          <w:szCs w:val="17"/>
          <w:rtl/>
        </w:rPr>
        <w:t>4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5 ألفا يقيس أي تفوق حققه أداء الصندوق مقارنة بأداء المؤشر المرتبط به.</w:t>
      </w:r>
      <w:r>
        <w:br/>
      </w:r>
      <w:r>
        <w:rPr>
          <w:rFonts w:ascii="Arial" w:hAnsi="Arial" w:cs="Arial" w:eastAsia="Arial"/>
          <w:color w:val="5A6478"/>
          <w:sz w:val="17"/>
          <w:szCs w:val="17"/>
          <w:rtl/>
        </w:rPr>
        <w:t>6 مؤشر المعلومات هو عبارة عن مقياس أداء معدل المخاطر ويتم حسابه على أنه العائد النشط لمدير الصندوق مقسوما على خطأ التتبع الخاص به. و كلما ارتفع معدل المعلومات، كلما ازدادت قدرة مدير الصندوق على تحقيق عوائد زائدة لكل وحدة من المخاطر الزائدة.</w:t>
      </w:r>
      <w:r>
        <w:br/>
      </w:r>
      <w:r>
        <w:rPr>
          <w:rFonts w:ascii="Arial" w:hAnsi="Arial" w:cs="Arial" w:eastAsia="Arial"/>
          <w:color w:val="5A6478"/>
          <w:sz w:val="17"/>
          <w:szCs w:val="17"/>
          <w:rtl/>
        </w:rPr>
        <w:t>تم احتساب معايير الأداء والمخاطر بناء على صافي قيمة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61"/>
            <wp:cNvGraphicFramePr>
              <a:graphicFrameLocks noChangeAspect="1"/>
            </wp:cNvGraphicFramePr>
            <a:graphic>
              <a:graphicData uri="http://schemas.openxmlformats.org/drawingml/2006/picture">
                <pic:pic>
                  <pic:nvPicPr>
                    <pic:cNvPr id="0" name="ico_c788ceab6c6867ef93d8dd6b26beef99.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وأية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 xml:space="preserve">اعتبارا من 29 أغسطس 2024م، وافق حاملو الوحدات على إعادة شراء ما يصل إلى 20 مليون وحدة (ما يعادل </w:t>
      </w:r>
      <w:r>
        <w:rPr>
          <w:rFonts w:ascii="Arial" w:hAnsi="Arial" w:cs="Arial" w:eastAsia="Arial"/>
          <w:color w:val="0E1E3A"/>
          <w:sz w:val="20"/>
          <w:szCs w:val="20"/>
        </w:rPr>
        <w:t>‎20%‎</w:t>
      </w:r>
      <w:r>
        <w:rPr>
          <w:rFonts w:ascii="Arial" w:hAnsi="Arial" w:cs="Arial" w:eastAsia="Arial"/>
          <w:color w:val="0E1E3A"/>
          <w:sz w:val="20"/>
          <w:szCs w:val="20"/>
          <w:rtl/>
        </w:rPr>
        <w:t xml:space="preserve"> من إجمالي وحدات الصندوق عند طرحه) خلال فترة 12 شهرا. وفي 19 مايو 2025م، وافقت هيئة السوق المالية على منح مدير الصندوق حق تعيين صانع 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6" name="Picture 906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الأسواق العالمية</w:t>
      </w:r>
    </w:p>
    <w:p>
      <w:pPr>
        <w:bidi w:val="1"/>
        <w:spacing w:before="0" w:after="80" w:line="312" w:lineRule="auto"/>
      </w:pPr>
      <w:r>
        <w:rPr>
          <w:rFonts w:ascii="Arial" w:hAnsi="Arial" w:cs="Arial" w:eastAsia="Arial"/>
          <w:color w:val="0E1E3A"/>
          <w:sz w:val="20"/>
          <w:szCs w:val="20"/>
          <w:rtl/>
        </w:rPr>
        <w:t xml:space="preserve">شهدت أسواق الأسهم العالمية تقلبات كبيرة في الربع الثاني من العام 2025م نتيجة تصاعد التوترات الجيوسياسية وظهور إشارات اقتصادية متباينة. ثم خفت حدة هذه التقلبات مع تقدم المحادثات الأمريكية حول الرسوم الجمركية. وقد ارتفع مؤشر "الخبير للأسهم العالمية" بنحو </w:t>
      </w:r>
      <w:r>
        <w:rPr>
          <w:rFonts w:ascii="Arial" w:hAnsi="Arial" w:cs="Arial" w:eastAsia="Arial"/>
          <w:color w:val="0E1E3A"/>
          <w:sz w:val="20"/>
          <w:szCs w:val="20"/>
        </w:rPr>
        <w:t>‎9.92%‎</w:t>
      </w:r>
      <w:r>
        <w:rPr>
          <w:rFonts w:ascii="Arial" w:hAnsi="Arial" w:cs="Arial" w:eastAsia="Arial"/>
          <w:color w:val="0E1E3A"/>
          <w:sz w:val="20"/>
          <w:szCs w:val="20"/>
          <w:rtl/>
        </w:rPr>
        <w:t>، ما يعكس تفاؤلا في السوق. تباطئ نمو الاقتصاد الامريكي، رغم استمرار قوة سوق العمل وتراجع التضخم، مما دعم توقعات خفض أسعار الفائدة في وقت لاحق من العام. في المقابل، جاءت نتائج اقتصادات أوروبا مختلطة، فيما استفادت الأسواق الناشئة من دعم السياسات. وعلى الأمد المتوسط، قد تستمر التقلبات بفعل الأحداث الجيوسياسية وعدم اليقين الم حيط بسياسة الرسوم الجمركية. وأي تطورات إيجابية في هذا الشأن، أو تراجع التوتر الجيوسياسي، إضافة إلى خطوات البنوك المركزية، ستسهم في دعم أسواق الأسهم.</w:t>
      </w:r>
    </w:p>
    <w:p>
      <w:pPr>
        <w:bidi w:val="1"/>
        <w:spacing w:before="0" w:after="80" w:line="312" w:lineRule="auto"/>
      </w:pPr>
      <w:r>
        <w:rPr>
          <w:rFonts w:ascii="Arial" w:hAnsi="Arial" w:cs="Arial" w:eastAsia="Arial"/>
          <w:color w:val="0E1E3A"/>
          <w:sz w:val="20"/>
          <w:szCs w:val="20"/>
          <w:rtl/>
        </w:rPr>
        <w:t xml:space="preserve">بحسب توقعات صندوق النقد الدولي في تقرير “الآفاق الاقتصادية العالمية”، من المتوقع أن ينمو الناتج المحلي الإجمالي العالمي بنسبة </w:t>
      </w:r>
      <w:r>
        <w:rPr>
          <w:rFonts w:ascii="Arial" w:hAnsi="Arial" w:cs="Arial" w:eastAsia="Arial"/>
          <w:color w:val="0E1E3A"/>
          <w:sz w:val="20"/>
          <w:szCs w:val="20"/>
        </w:rPr>
        <w:t>‎2.8%‎</w:t>
      </w:r>
      <w:r>
        <w:rPr>
          <w:rFonts w:ascii="Arial" w:hAnsi="Arial" w:cs="Arial" w:eastAsia="Arial"/>
          <w:color w:val="0E1E3A"/>
          <w:sz w:val="20"/>
          <w:szCs w:val="20"/>
          <w:rtl/>
        </w:rPr>
        <w:t xml:space="preserve"> خلال العام الجاري، مع نمو </w:t>
      </w:r>
      <w:r>
        <w:rPr>
          <w:rFonts w:ascii="Arial" w:hAnsi="Arial" w:cs="Arial" w:eastAsia="Arial"/>
          <w:color w:val="0E1E3A"/>
          <w:sz w:val="20"/>
          <w:szCs w:val="20"/>
        </w:rPr>
        <w:t>‎1.4%‎</w:t>
      </w:r>
      <w:r>
        <w:rPr>
          <w:rFonts w:ascii="Arial" w:hAnsi="Arial" w:cs="Arial" w:eastAsia="Arial"/>
          <w:color w:val="0E1E3A"/>
          <w:sz w:val="20"/>
          <w:szCs w:val="20"/>
          <w:rtl/>
        </w:rPr>
        <w:t xml:space="preserve"> في الاقتصادات المتقدمة و </w:t>
      </w:r>
      <w:r>
        <w:rPr>
          <w:rFonts w:ascii="Arial" w:hAnsi="Arial" w:cs="Arial" w:eastAsia="Arial"/>
          <w:color w:val="0E1E3A"/>
          <w:sz w:val="20"/>
          <w:szCs w:val="20"/>
        </w:rPr>
        <w:t>‎3.7%‎</w:t>
      </w:r>
      <w:r>
        <w:rPr>
          <w:rFonts w:ascii="Arial" w:hAnsi="Arial" w:cs="Arial" w:eastAsia="Arial"/>
          <w:color w:val="0E1E3A"/>
          <w:sz w:val="20"/>
          <w:szCs w:val="20"/>
          <w:rtl/>
        </w:rPr>
        <w:t xml:space="preserve"> في الأسواق الناشئة.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7" name="Picture 906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الوحدة للصندوق مقارنة مع المؤشر الاسترشادي منذ بداية الصندوق</w:t>
      </w:r>
    </w:p>
    <w:p>
      <w:pPr>
        <w:bidi w:val="1"/>
        <w:spacing w:before="0" w:after="80" w:line="240" w:lineRule="auto"/>
        <w:jc w:val="center"/>
      </w:pPr>
      <w:r>
        <w:drawing>
          <wp:inline xmlns:a="http://schemas.openxmlformats.org/drawingml/2006/main" xmlns:pic="http://schemas.openxmlformats.org/drawingml/2006/picture">
            <wp:extent cx="6336000" cy="3187027"/>
            <wp:docPr id="28" name="Picture 9064"/>
            <wp:cNvGraphicFramePr>
              <a:graphicFrameLocks noChangeAspect="1"/>
            </wp:cNvGraphicFramePr>
            <a:graphic>
              <a:graphicData uri="http://schemas.openxmlformats.org/drawingml/2006/picture">
                <pic:pic>
                  <pic:nvPicPr>
                    <pic:cNvPr id="0" name="x7.j.jpg"/>
                    <pic:cNvPicPr/>
                  </pic:nvPicPr>
                  <pic:blipFill>
                    <a:blip r:embed="rId25"/>
                    <a:stretch>
                      <a:fillRect/>
                    </a:stretch>
                  </pic:blipFill>
                  <pic:spPr>
                    <a:xfrm>
                      <a:off x="0" y="0"/>
                      <a:ext cx="6336000" cy="3187027"/>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كما في تاريخ 30 يونيو 2025م.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9" name="Picture 9065"/>
            <wp:cNvGraphicFramePr>
              <a:graphicFrameLocks noChangeAspect="1"/>
            </wp:cNvGraphicFramePr>
            <a:graphic>
              <a:graphicData uri="http://schemas.openxmlformats.org/drawingml/2006/picture">
                <pic:pic>
                  <pic:nvPicPr>
                    <pic:cNvPr id="0" name="ico_8eba3796ad497c7a142d47da7c90fea0.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0" name="Picture 9066"/>
            <wp:cNvGraphicFramePr>
              <a:graphicFrameLocks noChangeAspect="1"/>
            </wp:cNvGraphicFramePr>
            <a:graphic>
              <a:graphicData uri="http://schemas.openxmlformats.org/drawingml/2006/picture">
                <pic:pic>
                  <pic:nvPicPr>
                    <pic:cNvPr id="0" name="ico_31799530e5dd3dc5b4ca7f2d37945432.png"/>
                    <pic:cNvPicPr/>
                  </pic:nvPicPr>
                  <pic:blipFill>
                    <a:blip r:embed="rId2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للنمو والدخل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للنمو والدخل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jpg"/><Relationship Id="rId26" Type="http://schemas.openxmlformats.org/officeDocument/2006/relationships/image" Target="media/image14.png"/><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للنمو والدخل — البيان الربع سنوي الربع الثاني 2025م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