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7"/>
            <wp:cNvGraphicFramePr/>
            <a:graphic>
              <a:graphicData uri="http://schemas.openxmlformats.org/drawingml/2006/picture">
                <pic:pic>
                  <pic:nvPicPr>
                    <pic:cNvPr id="9037" name="banner903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12.4216</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829,043,905</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4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829,043,905</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824,561,131</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44,831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2,498,214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2025 (Unaudited).</w:t>
      </w:r>
      <w:r>
        <w:br/>
      </w:r>
      <w:r>
        <w:rPr>
          <w:rFonts w:ascii="Arial" w:hAnsi="Arial" w:cs="Arial" w:eastAsia="Arial"/>
          <w:color w:val="5A6478"/>
          <w:sz w:val="17"/>
          <w:szCs w:val="17"/>
        </w:rPr>
        <w:t>** Fund's expenses and fees are total Fund expenses during the reporting quarter, excluding financing</w:t>
      </w:r>
      <w:r>
        <w:br/>
      </w:r>
      <w:r>
        <w:rPr>
          <w:rFonts w:ascii="Arial" w:hAnsi="Arial" w:cs="Arial" w:eastAsia="Arial"/>
          <w:color w:val="5A6478"/>
          <w:sz w:val="17"/>
          <w:szCs w:val="17"/>
        </w:rPr>
        <w:t>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784,329,814.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4"/>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6"/>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644757"/>
            <wp:docPr id="12" name="Picture 9048"/>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644757"/>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789,783,020</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39,260,885</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5" name="Picture 9051"/>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 (27 APRIL 2022)</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w:t>
            </w:r>
          </w:p>
        </w:tc>
        <w:tc>
          <w:tcPr>
            <w:tcW w:type="dxa" w:w="6860"/>
          </w:tcPr>
          <w:p>
            <w:pPr>
              <w:spacing w:before="0" w:after="0" w:line="276" w:lineRule="auto"/>
            </w:pPr>
            <w:r>
              <w:rPr>
                <w:rFonts w:ascii="Arial" w:hAnsi="Arial" w:cs="Arial" w:eastAsia="Arial"/>
                <w:b/>
                <w:bCs/>
                <w:color w:val="0E1E3A"/>
                <w:sz w:val="18"/>
                <w:szCs w:val="18"/>
              </w:rPr>
              <w:t>SAR 654,189,890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633,808,698</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642,402,714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621,319,083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572,376,972</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583,510,775</w:t>
            </w:r>
          </w:p>
        </w:tc>
      </w:tr>
      <w:tr>
        <w:tc>
          <w:tcPr>
            <w:tcW w:type="dxa" w:w="3118"/>
            <w:shd w:val="clear" w:color="auto" w:fill="F3F6FB"/>
          </w:tcPr>
          <w:p>
            <w:pPr>
              <w:spacing w:before="0" w:after="0" w:line="276" w:lineRule="auto"/>
            </w:pPr>
            <w:r>
              <w:rPr>
                <w:rFonts w:ascii="Arial" w:hAnsi="Arial" w:cs="Arial" w:eastAsia="Arial"/>
                <w:color w:val="5A6478"/>
                <w:sz w:val="18"/>
                <w:szCs w:val="18"/>
              </w:rPr>
              <w:t>AS AT 27 MARCH 2025*******</w:t>
            </w:r>
          </w:p>
        </w:tc>
        <w:tc>
          <w:tcPr>
            <w:tcW w:type="dxa" w:w="6860"/>
          </w:tcPr>
          <w:p>
            <w:pPr>
              <w:spacing w:before="0" w:after="0" w:line="276" w:lineRule="auto"/>
            </w:pPr>
            <w:r>
              <w:rPr>
                <w:rFonts w:ascii="Arial" w:hAnsi="Arial" w:cs="Arial" w:eastAsia="Arial"/>
                <w:b/>
                <w:bCs/>
                <w:color w:val="0E1E3A"/>
                <w:sz w:val="18"/>
                <w:szCs w:val="18"/>
              </w:rPr>
              <w:t>SAR 585,191,495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2025********</w:t>
            </w:r>
          </w:p>
        </w:tc>
        <w:tc>
          <w:tcPr>
            <w:tcW w:type="dxa" w:w="6860"/>
          </w:tcPr>
          <w:p>
            <w:pPr>
              <w:spacing w:before="0" w:after="0" w:line="276" w:lineRule="auto"/>
            </w:pPr>
            <w:r>
              <w:rPr>
                <w:rFonts w:ascii="Arial" w:hAnsi="Arial" w:cs="Arial" w:eastAsia="Arial"/>
                <w:b/>
                <w:bCs/>
                <w:color w:val="0E1E3A"/>
                <w:sz w:val="18"/>
                <w:szCs w:val="18"/>
              </w:rPr>
              <w:t>SAR 635,266,983</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28 September 2023</w:t>
      </w:r>
      <w:r>
        <w:br/>
      </w:r>
      <w:r>
        <w:rPr>
          <w:rFonts w:ascii="Arial" w:hAnsi="Arial" w:cs="Arial" w:eastAsia="Arial"/>
          <w:color w:val="5A6478"/>
          <w:sz w:val="17"/>
          <w:szCs w:val="17"/>
        </w:rPr>
        <w:t>** Excluding Units bought back by the Fund for cancellation (28,383,198 Units) as at 31 December 2023</w:t>
      </w:r>
      <w:r>
        <w:br/>
      </w:r>
      <w:r>
        <w:rPr>
          <w:rFonts w:ascii="Arial" w:hAnsi="Arial" w:cs="Arial" w:eastAsia="Arial"/>
          <w:color w:val="5A6478"/>
          <w:sz w:val="17"/>
          <w:szCs w:val="17"/>
        </w:rPr>
        <w:t>*** Excluding Units bought back by the Fund for cancellation (28,383,198 Units) as at 31 March 2024</w:t>
      </w:r>
      <w:r>
        <w:br/>
      </w:r>
      <w:r>
        <w:rPr>
          <w:rFonts w:ascii="Arial" w:hAnsi="Arial" w:cs="Arial" w:eastAsia="Arial"/>
          <w:color w:val="5A6478"/>
          <w:sz w:val="17"/>
          <w:szCs w:val="17"/>
        </w:rPr>
        <w:t>**** Excluding Units bought back by the Fund for cancellation (29,475,700 Units) as at 30 June 2024</w:t>
      </w:r>
      <w:r>
        <w:br/>
      </w:r>
      <w:r>
        <w:rPr>
          <w:rFonts w:ascii="Arial" w:hAnsi="Arial" w:cs="Arial" w:eastAsia="Arial"/>
          <w:color w:val="5A6478"/>
          <w:sz w:val="17"/>
          <w:szCs w:val="17"/>
        </w:rPr>
        <w:t>***** Units bought back by the Fund for cancellation (30,025,851 Units) were cancelled on 25 July 2024</w:t>
      </w:r>
      <w:r>
        <w:br/>
      </w:r>
      <w:r>
        <w:rPr>
          <w:rFonts w:ascii="Arial" w:hAnsi="Arial" w:cs="Arial" w:eastAsia="Arial"/>
          <w:color w:val="5A6478"/>
          <w:sz w:val="17"/>
          <w:szCs w:val="17"/>
        </w:rPr>
        <w:t>***** Excluding Units bought back by the Fund for cancellation (257,100 Units) as at 30 September 2024</w:t>
      </w:r>
      <w:r>
        <w:br/>
      </w:r>
      <w:r>
        <w:rPr>
          <w:rFonts w:ascii="Arial" w:hAnsi="Arial" w:cs="Arial" w:eastAsia="Arial"/>
          <w:color w:val="5A6478"/>
          <w:sz w:val="17"/>
          <w:szCs w:val="17"/>
        </w:rPr>
        <w:t>****** Excluding Units bought back by the Fund for cancellation (755,789 Units) as at 31 December 2024.</w:t>
      </w:r>
      <w:r>
        <w:br/>
      </w:r>
      <w:r>
        <w:rPr>
          <w:rFonts w:ascii="Arial" w:hAnsi="Arial" w:cs="Arial" w:eastAsia="Arial"/>
          <w:color w:val="5A6478"/>
          <w:sz w:val="17"/>
          <w:szCs w:val="17"/>
        </w:rPr>
        <w:t>******* Excluding Units bought back by the Fund for cancellation (1,047,000 Units) as at 27 March 2025.</w:t>
      </w:r>
      <w:r>
        <w:br/>
      </w:r>
      <w:r>
        <w:rPr>
          <w:rFonts w:ascii="Arial" w:hAnsi="Arial" w:cs="Arial" w:eastAsia="Arial"/>
          <w:color w:val="5A6478"/>
          <w:sz w:val="17"/>
          <w:szCs w:val="17"/>
        </w:rPr>
        <w:t>******** Excluding Units bought back by the Fund for cancellation (3,593,064 Units) as at 30 June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2025)</w:t>
            </w:r>
          </w:p>
        </w:tc>
        <w:tc>
          <w:tcPr>
            <w:tcW w:type="dxa" w:w="6860"/>
          </w:tcPr>
          <w:p>
            <w:pPr>
              <w:spacing w:before="0" w:after="0" w:line="276" w:lineRule="auto"/>
            </w:pPr>
            <w:r>
              <w:rPr>
                <w:rFonts w:ascii="Arial" w:hAnsi="Arial" w:cs="Arial" w:eastAsia="Arial"/>
                <w:b/>
                <w:bCs/>
                <w:color w:val="0E1E3A"/>
                <w:sz w:val="18"/>
                <w:szCs w:val="18"/>
              </w:rPr>
              <w:t>SAR 9.57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(31 MARCH 2025 TO 30 JUNE 2025)</w:t>
            </w:r>
          </w:p>
        </w:tc>
        <w:tc>
          <w:tcPr>
            <w:tcW w:type="dxa" w:w="6860"/>
          </w:tcPr>
          <w:p>
            <w:pPr>
              <w:spacing w:before="0" w:after="0" w:line="276" w:lineRule="auto"/>
            </w:pPr>
            <w:r>
              <w:rPr>
                <w:rFonts w:ascii="Arial" w:hAnsi="Arial" w:cs="Arial" w:eastAsia="Arial"/>
                <w:b/>
                <w:bCs/>
                <w:color w:val="0E1E3A"/>
                <w:sz w:val="18"/>
                <w:szCs w:val="18"/>
              </w:rPr>
              <w:t>12.72%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2025)</w:t>
            </w:r>
          </w:p>
        </w:tc>
        <w:tc>
          <w:tcPr>
            <w:tcW w:type="dxa" w:w="6860"/>
          </w:tcPr>
          <w:p>
            <w:pPr>
              <w:spacing w:before="0" w:after="0" w:line="276" w:lineRule="auto"/>
            </w:pPr>
            <w:r>
              <w:rPr>
                <w:rFonts w:ascii="Arial" w:hAnsi="Arial" w:cs="Arial" w:eastAsia="Arial"/>
                <w:b/>
                <w:bCs/>
                <w:color w:val="0E1E3A"/>
                <w:sz w:val="18"/>
                <w:szCs w:val="18"/>
              </w:rPr>
              <w:t>-4.30%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Q2 2025)</w:t>
            </w:r>
          </w:p>
        </w:tc>
        <w:tc>
          <w:tcPr>
            <w:tcW w:type="dxa" w:w="6860"/>
          </w:tcPr>
          <w:p>
            <w:pPr>
              <w:spacing w:before="0" w:after="0" w:line="276" w:lineRule="auto"/>
            </w:pPr>
            <w:r>
              <w:rPr>
                <w:rFonts w:ascii="Arial" w:hAnsi="Arial" w:cs="Arial" w:eastAsia="Arial"/>
                <w:b/>
                <w:bCs/>
                <w:color w:val="0E1E3A"/>
                <w:sz w:val="18"/>
                <w:szCs w:val="18"/>
              </w:rPr>
              <w:t>16.77%</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9.57</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7.9</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30 JUNE 2025) *</w:t>
            </w:r>
          </w:p>
        </w:tc>
        <w:tc>
          <w:tcPr>
            <w:tcW w:type="dxa" w:w="6860"/>
          </w:tcPr>
          <w:p>
            <w:pPr>
              <w:spacing w:before="0" w:after="0" w:line="276" w:lineRule="auto"/>
            </w:pPr>
            <w:r>
              <w:rPr>
                <w:rFonts w:ascii="Arial" w:hAnsi="Arial" w:cs="Arial" w:eastAsia="Arial"/>
                <w:b/>
                <w:bCs/>
                <w:color w:val="0E1E3A"/>
                <w:sz w:val="18"/>
                <w:szCs w:val="18"/>
              </w:rPr>
              <w:t>66,381,085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4"/>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 The Fund Manager aims to distribute dividends semi-annually. This distribution includes 100% of the returns on the Fund's investments, and up to 50% of the realized and unrealized net capital gains. Distribution of these dividends shall be subject to the approval of the Fund Board. • The Fund Manager may, at its discretion, pay additional distributions during the fiscal year. These additional distributions shall be subject to the approval of the Fund Board. • Distributions, if any, will be declared according to CMA's guidelines as of the date of the declaration and publication of the Fund's quarterly report on Saudi Tadawul's website. Details of the distributions will be announced on Saudi Tadawul's website www.saudiexchange.sa. Distributions (if any) will be paid within thirty (30) business days after the date of announcement and publication of the Fund's quarterly report on Saudi Tadawul's website. • The Fund Manager will take into account the value of the assets, the Unit Price and the market conditions at the time, subject to consideration of long-term asset growth, in order to reach the optimal decision on whether to pay or not to pay distributions.</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3,497,448</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11,671,839</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GAINS ON THE FUND'S INVESTMENTS</w:t>
            </w:r>
          </w:p>
        </w:tc>
        <w:tc>
          <w:tcPr>
            <w:tcW w:type="dxa" w:w="6860"/>
          </w:tcPr>
          <w:p>
            <w:pPr>
              <w:spacing w:before="0" w:after="0" w:line="276" w:lineRule="auto"/>
            </w:pPr>
            <w:r>
              <w:rPr>
                <w:rFonts w:ascii="Arial" w:hAnsi="Arial" w:cs="Arial" w:eastAsia="Arial"/>
                <w:b/>
                <w:bCs/>
                <w:color w:val="0E1E3A"/>
                <w:sz w:val="18"/>
                <w:szCs w:val="18"/>
              </w:rPr>
              <w:t>SAR 49,660,413.81</w:t>
            </w:r>
          </w:p>
        </w:tc>
      </w:tr>
      <w:tr>
        <w:tc>
          <w:tcPr>
            <w:tcW w:type="dxa" w:w="3118"/>
            <w:shd w:val="clear" w:color="auto" w:fill="F3F6FB"/>
          </w:tcPr>
          <w:p>
            <w:pPr>
              <w:spacing w:before="0" w:after="0" w:line="276" w:lineRule="auto"/>
            </w:pPr>
            <w:r>
              <w:rPr>
                <w:rFonts w:ascii="Arial" w:hAnsi="Arial" w:cs="Arial" w:eastAsia="Arial"/>
                <w:color w:val="5A6478"/>
                <w:sz w:val="18"/>
                <w:szCs w:val="18"/>
              </w:rPr>
              <w:t>GAINS FROM FOREIGN CURRENCY RATE DIFFERENCES</w:t>
            </w:r>
          </w:p>
        </w:tc>
        <w:tc>
          <w:tcPr>
            <w:tcW w:type="dxa" w:w="6860"/>
          </w:tcPr>
          <w:p>
            <w:pPr>
              <w:spacing w:before="0" w:after="0" w:line="276" w:lineRule="auto"/>
            </w:pPr>
            <w:r>
              <w:rPr>
                <w:rFonts w:ascii="Arial" w:hAnsi="Arial" w:cs="Arial" w:eastAsia="Arial"/>
                <w:b/>
                <w:bCs/>
                <w:color w:val="0E1E3A"/>
                <w:sz w:val="18"/>
                <w:szCs w:val="18"/>
              </w:rPr>
              <w:t>SAR 385,381</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65,215,082</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30 JUNE 2025</w:t>
            </w:r>
          </w:p>
        </w:tc>
        <w:tc>
          <w:tcPr>
            <w:tcW w:type="dxa" w:w="6860"/>
          </w:tcPr>
          <w:p>
            <w:pPr>
              <w:spacing w:before="0" w:after="0" w:line="276" w:lineRule="auto"/>
            </w:pPr>
            <w:r>
              <w:rPr>
                <w:rFonts w:ascii="Arial" w:hAnsi="Arial" w:cs="Arial" w:eastAsia="Arial"/>
                <w:b/>
                <w:bCs/>
                <w:color w:val="0E1E3A"/>
                <w:sz w:val="18"/>
                <w:szCs w:val="18"/>
              </w:rPr>
              <w:t>7.91%</w:t>
            </w:r>
          </w:p>
        </w:tc>
      </w:tr>
    </w:tbl>
    <w:p>
      <w:pPr>
        <w:spacing w:before="0" w:after="40" w:line="300" w:lineRule="auto"/>
      </w:pPr>
    </w:p>
    <w:p>
      <w:pPr>
        <w:spacing w:before="0" w:after="80" w:line="312" w:lineRule="auto"/>
      </w:pPr>
      <w:r>
        <w:rPr>
          <w:rFonts w:ascii="Arial" w:hAnsi="Arial" w:cs="Arial" w:eastAsia="Arial"/>
          <w:color w:val="5A6478"/>
          <w:sz w:val="17"/>
          <w:szCs w:val="17"/>
        </w:rPr>
        <w:t>* The dividend distribution policy was updated on May 18, 2025 after obtaining CMA’s approval.</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45.11%</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19.86x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companies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11.3847</w:t>
            </w:r>
          </w:p>
        </w:tc>
        <w:tc>
          <w:tcPr>
            <w:tcW w:type="dxa" w:w="3326"/>
          </w:tcPr>
          <w:p>
            <w:pPr>
              <w:spacing w:before="0" w:after="0" w:line="264" w:lineRule="auto"/>
            </w:pPr>
            <w:r>
              <w:rPr>
                <w:rFonts w:ascii="Arial" w:hAnsi="Arial" w:cs="Arial" w:eastAsia="Arial"/>
                <w:color w:val="0E1E3A"/>
                <w:sz w:val="17"/>
                <w:szCs w:val="17"/>
              </w:rPr>
              <w:t>114.5603</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12.4216</w:t>
            </w:r>
          </w:p>
        </w:tc>
        <w:tc>
          <w:tcPr>
            <w:tcW w:type="dxa" w:w="3326"/>
          </w:tcPr>
          <w:p>
            <w:pPr>
              <w:spacing w:before="0" w:after="0" w:line="264" w:lineRule="auto"/>
            </w:pPr>
            <w:r>
              <w:rPr>
                <w:rFonts w:ascii="Arial" w:hAnsi="Arial" w:cs="Arial" w:eastAsia="Arial"/>
                <w:color w:val="0E1E3A"/>
                <w:sz w:val="17"/>
                <w:szCs w:val="17"/>
              </w:rPr>
              <w:t>125.9237</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9.11%</w:t>
            </w:r>
          </w:p>
        </w:tc>
        <w:tc>
          <w:tcPr>
            <w:tcW w:type="dxa" w:w="3326"/>
          </w:tcPr>
          <w:p>
            <w:pPr>
              <w:spacing w:before="0" w:after="0" w:line="264" w:lineRule="auto"/>
            </w:pPr>
            <w:r>
              <w:rPr>
                <w:rFonts w:ascii="Arial" w:hAnsi="Arial" w:cs="Arial" w:eastAsia="Arial"/>
                <w:color w:val="0E1E3A"/>
                <w:sz w:val="17"/>
                <w:szCs w:val="17"/>
              </w:rPr>
              <w:t>9.92%</w:t>
            </w:r>
          </w:p>
        </w:tc>
      </w:tr>
    </w:tbl>
    <w:p>
      <w:pPr>
        <w:spacing w:before="0" w:after="40" w:line="300" w:lineRule="auto"/>
      </w:pPr>
    </w:p>
    <w:p>
      <w:pPr>
        <w:spacing w:before="0" w:after="80" w:line="312" w:lineRule="auto"/>
      </w:pPr>
      <w:r>
        <w:rPr>
          <w:rFonts w:ascii="Arial" w:hAnsi="Arial" w:cs="Arial" w:eastAsia="Arial"/>
          <w:color w:val="5A6478"/>
          <w:sz w:val="17"/>
          <w:szCs w:val="17"/>
        </w:rPr>
        <w:t>*NAV/Unit excluding dividend distributions for the specified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9.11%</w:t>
            </w:r>
          </w:p>
        </w:tc>
        <w:tc>
          <w:tcPr>
            <w:tcW w:type="dxa" w:w="1663"/>
          </w:tcPr>
          <w:p>
            <w:pPr>
              <w:spacing w:before="0" w:after="0" w:line="264" w:lineRule="auto"/>
            </w:pPr>
            <w:r>
              <w:rPr>
                <w:rFonts w:ascii="Arial" w:hAnsi="Arial" w:cs="Arial" w:eastAsia="Arial"/>
                <w:color w:val="0E1E3A"/>
                <w:sz w:val="17"/>
                <w:szCs w:val="17"/>
              </w:rPr>
              <w:t>7.34%</w:t>
            </w:r>
          </w:p>
        </w:tc>
        <w:tc>
          <w:tcPr>
            <w:tcW w:type="dxa" w:w="1663"/>
          </w:tcPr>
          <w:p>
            <w:pPr>
              <w:spacing w:before="0" w:after="0" w:line="264" w:lineRule="auto"/>
            </w:pPr>
            <w:r>
              <w:rPr>
                <w:rFonts w:ascii="Arial" w:hAnsi="Arial" w:cs="Arial" w:eastAsia="Arial"/>
                <w:color w:val="0E1E3A"/>
                <w:sz w:val="17"/>
                <w:szCs w:val="17"/>
              </w:rPr>
              <w:t>7.79%</w:t>
            </w:r>
          </w:p>
        </w:tc>
        <w:tc>
          <w:tcPr>
            <w:tcW w:type="dxa" w:w="1663"/>
          </w:tcPr>
          <w:p>
            <w:pPr>
              <w:spacing w:before="0" w:after="0" w:line="264" w:lineRule="auto"/>
            </w:pPr>
            <w:r>
              <w:rPr>
                <w:rFonts w:ascii="Arial" w:hAnsi="Arial" w:cs="Arial" w:eastAsia="Arial"/>
                <w:color w:val="0E1E3A"/>
                <w:sz w:val="17"/>
                <w:szCs w:val="17"/>
              </w:rPr>
              <w:t>55.01%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9.92%</w:t>
            </w:r>
          </w:p>
        </w:tc>
        <w:tc>
          <w:tcPr>
            <w:tcW w:type="dxa" w:w="1663"/>
          </w:tcPr>
          <w:p>
            <w:pPr>
              <w:spacing w:before="0" w:after="0" w:line="264" w:lineRule="auto"/>
            </w:pPr>
            <w:r>
              <w:rPr>
                <w:rFonts w:ascii="Arial" w:hAnsi="Arial" w:cs="Arial" w:eastAsia="Arial"/>
                <w:color w:val="0E1E3A"/>
                <w:sz w:val="17"/>
                <w:szCs w:val="17"/>
              </w:rPr>
              <w:t>6.00%</w:t>
            </w:r>
          </w:p>
        </w:tc>
        <w:tc>
          <w:tcPr>
            <w:tcW w:type="dxa" w:w="1663"/>
          </w:tcPr>
          <w:p>
            <w:pPr>
              <w:spacing w:before="0" w:after="0" w:line="264" w:lineRule="auto"/>
            </w:pPr>
            <w:r>
              <w:rPr>
                <w:rFonts w:ascii="Arial" w:hAnsi="Arial" w:cs="Arial" w:eastAsia="Arial"/>
                <w:color w:val="0E1E3A"/>
                <w:sz w:val="17"/>
                <w:szCs w:val="17"/>
              </w:rPr>
              <w:t>5.78%</w:t>
            </w:r>
          </w:p>
        </w:tc>
        <w:tc>
          <w:tcPr>
            <w:tcW w:type="dxa" w:w="1663"/>
          </w:tcPr>
          <w:p>
            <w:pPr>
              <w:spacing w:before="0" w:after="0" w:line="264" w:lineRule="auto"/>
            </w:pPr>
            <w:r>
              <w:rPr>
                <w:rFonts w:ascii="Arial" w:hAnsi="Arial" w:cs="Arial" w:eastAsia="Arial"/>
                <w:color w:val="0E1E3A"/>
                <w:sz w:val="17"/>
                <w:szCs w:val="17"/>
              </w:rPr>
              <w:t>44.17%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-0.81%</w:t>
            </w:r>
          </w:p>
        </w:tc>
        <w:tc>
          <w:tcPr>
            <w:tcW w:type="dxa" w:w="1663"/>
          </w:tcPr>
          <w:p>
            <w:pPr>
              <w:spacing w:before="0" w:after="0" w:line="264" w:lineRule="auto"/>
            </w:pPr>
            <w:r>
              <w:rPr>
                <w:rFonts w:ascii="Arial" w:hAnsi="Arial" w:cs="Arial" w:eastAsia="Arial"/>
                <w:color w:val="0E1E3A"/>
                <w:sz w:val="17"/>
                <w:szCs w:val="17"/>
              </w:rPr>
              <w:t>1.34%</w:t>
            </w:r>
          </w:p>
        </w:tc>
        <w:tc>
          <w:tcPr>
            <w:tcW w:type="dxa" w:w="1663"/>
          </w:tcPr>
          <w:p>
            <w:pPr>
              <w:spacing w:before="0" w:after="0" w:line="264" w:lineRule="auto"/>
            </w:pPr>
            <w:r>
              <w:rPr>
                <w:rFonts w:ascii="Arial" w:hAnsi="Arial" w:cs="Arial" w:eastAsia="Arial"/>
                <w:color w:val="0E1E3A"/>
                <w:sz w:val="17"/>
                <w:szCs w:val="17"/>
              </w:rPr>
              <w:t>2.01%</w:t>
            </w:r>
          </w:p>
        </w:tc>
        <w:tc>
          <w:tcPr>
            <w:tcW w:type="dxa" w:w="1663"/>
          </w:tcPr>
          <w:p>
            <w:pPr>
              <w:spacing w:before="0" w:after="0" w:line="264" w:lineRule="auto"/>
            </w:pPr>
            <w:r>
              <w:rPr>
                <w:rFonts w:ascii="Arial" w:hAnsi="Arial" w:cs="Arial" w:eastAsia="Arial"/>
                <w:color w:val="0E1E3A"/>
                <w:sz w:val="17"/>
                <w:szCs w:val="17"/>
              </w:rPr>
              <w:t>10.84%</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w:t>
      </w:r>
      <w:r>
        <w:br/>
      </w:r>
      <w:r>
        <w:rPr>
          <w:rFonts w:ascii="Arial" w:hAnsi="Arial" w:cs="Arial" w:eastAsia="Arial"/>
          <w:color w:val="5A6478"/>
          <w:sz w:val="17"/>
          <w:szCs w:val="17"/>
        </w:rPr>
        <w:t>** For the period from 31 December 2024 to 30 June 2025.</w:t>
      </w:r>
      <w:r>
        <w:br/>
      </w:r>
      <w:r>
        <w:rPr>
          <w:rFonts w:ascii="Arial" w:hAnsi="Arial" w:cs="Arial" w:eastAsia="Arial"/>
          <w:color w:val="5A6478"/>
          <w:sz w:val="17"/>
          <w:szCs w:val="17"/>
        </w:rPr>
        <w:t>*** For the period from 30 June 2024 to 30 June 2025, including cash distributions of SAR 0.785 (0.60 + 0.185).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60"/>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22.41</w:t>
            </w:r>
          </w:p>
        </w:tc>
        <w:tc>
          <w:tcPr>
            <w:tcW w:type="dxa" w:w="1663"/>
          </w:tcPr>
          <w:p>
            <w:pPr>
              <w:spacing w:before="0" w:after="0" w:line="264" w:lineRule="auto"/>
            </w:pPr>
            <w:r>
              <w:rPr>
                <w:rFonts w:ascii="Arial" w:hAnsi="Arial" w:cs="Arial" w:eastAsia="Arial"/>
                <w:color w:val="0E1E3A"/>
                <w:sz w:val="17"/>
                <w:szCs w:val="17"/>
              </w:rPr>
              <w:t>18.69</w:t>
            </w:r>
          </w:p>
        </w:tc>
        <w:tc>
          <w:tcPr>
            <w:tcW w:type="dxa" w:w="1663"/>
          </w:tcPr>
          <w:p>
            <w:pPr>
              <w:spacing w:before="0" w:after="0" w:line="264" w:lineRule="auto"/>
            </w:pPr>
            <w:r>
              <w:rPr>
                <w:rFonts w:ascii="Arial" w:hAnsi="Arial" w:cs="Arial" w:eastAsia="Arial"/>
                <w:color w:val="0E1E3A"/>
                <w:sz w:val="17"/>
                <w:szCs w:val="17"/>
              </w:rPr>
              <w:t>17.12</w:t>
            </w:r>
          </w:p>
        </w:tc>
        <w:tc>
          <w:tcPr>
            <w:tcW w:type="dxa" w:w="1663"/>
          </w:tcPr>
          <w:p>
            <w:pPr>
              <w:spacing w:before="0" w:after="0" w:line="264" w:lineRule="auto"/>
            </w:pPr>
            <w:r>
              <w:rPr>
                <w:rFonts w:ascii="Arial" w:hAnsi="Arial" w:cs="Arial" w:eastAsia="Arial"/>
                <w:color w:val="0E1E3A"/>
                <w:sz w:val="17"/>
                <w:szCs w:val="17"/>
              </w:rPr>
              <w:t>13.21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1.69</w:t>
            </w:r>
          </w:p>
        </w:tc>
        <w:tc>
          <w:tcPr>
            <w:tcW w:type="dxa" w:w="1663"/>
          </w:tcPr>
          <w:p>
            <w:pPr>
              <w:spacing w:before="0" w:after="0" w:line="264" w:lineRule="auto"/>
            </w:pPr>
            <w:r>
              <w:rPr>
                <w:rFonts w:ascii="Arial" w:hAnsi="Arial" w:cs="Arial" w:eastAsia="Arial"/>
                <w:color w:val="0E1E3A"/>
                <w:sz w:val="17"/>
                <w:szCs w:val="17"/>
              </w:rPr>
              <w:t>0.58</w:t>
            </w:r>
          </w:p>
        </w:tc>
        <w:tc>
          <w:tcPr>
            <w:tcW w:type="dxa" w:w="1663"/>
          </w:tcPr>
          <w:p>
            <w:pPr>
              <w:spacing w:before="0" w:after="0" w:line="264" w:lineRule="auto"/>
            </w:pPr>
            <w:r>
              <w:rPr>
                <w:rFonts w:ascii="Arial" w:hAnsi="Arial" w:cs="Arial" w:eastAsia="Arial"/>
                <w:color w:val="0E1E3A"/>
                <w:sz w:val="17"/>
                <w:szCs w:val="17"/>
              </w:rPr>
              <w:t>0.21</w:t>
            </w:r>
          </w:p>
        </w:tc>
        <w:tc>
          <w:tcPr>
            <w:tcW w:type="dxa" w:w="1663"/>
          </w:tcPr>
          <w:p>
            <w:pPr>
              <w:spacing w:before="0" w:after="0" w:line="264" w:lineRule="auto"/>
            </w:pPr>
            <w:r>
              <w:rPr>
                <w:rFonts w:ascii="Arial" w:hAnsi="Arial" w:cs="Arial" w:eastAsia="Arial"/>
                <w:color w:val="0E1E3A"/>
                <w:sz w:val="17"/>
                <w:szCs w:val="17"/>
              </w:rPr>
              <w:t>0.62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4.68</w:t>
            </w:r>
          </w:p>
        </w:tc>
        <w:tc>
          <w:tcPr>
            <w:tcW w:type="dxa" w:w="1663"/>
          </w:tcPr>
          <w:p>
            <w:pPr>
              <w:spacing w:before="0" w:after="0" w:line="264" w:lineRule="auto"/>
            </w:pPr>
            <w:r>
              <w:rPr>
                <w:rFonts w:ascii="Arial" w:hAnsi="Arial" w:cs="Arial" w:eastAsia="Arial"/>
                <w:color w:val="0E1E3A"/>
                <w:sz w:val="17"/>
                <w:szCs w:val="17"/>
              </w:rPr>
              <w:t>4.45</w:t>
            </w:r>
          </w:p>
        </w:tc>
        <w:tc>
          <w:tcPr>
            <w:tcW w:type="dxa" w:w="1663"/>
          </w:tcPr>
          <w:p>
            <w:pPr>
              <w:spacing w:before="0" w:after="0" w:line="264" w:lineRule="auto"/>
            </w:pPr>
            <w:r>
              <w:rPr>
                <w:rFonts w:ascii="Arial" w:hAnsi="Arial" w:cs="Arial" w:eastAsia="Arial"/>
                <w:color w:val="0E1E3A"/>
                <w:sz w:val="17"/>
                <w:szCs w:val="17"/>
              </w:rPr>
              <w:t>8.11</w:t>
            </w:r>
          </w:p>
        </w:tc>
        <w:tc>
          <w:tcPr>
            <w:tcW w:type="dxa" w:w="1663"/>
          </w:tcPr>
          <w:p>
            <w:pPr>
              <w:spacing w:before="0" w:after="0" w:line="264" w:lineRule="auto"/>
            </w:pPr>
            <w:r>
              <w:rPr>
                <w:rFonts w:ascii="Arial" w:hAnsi="Arial" w:cs="Arial" w:eastAsia="Arial"/>
                <w:color w:val="0E1E3A"/>
                <w:sz w:val="17"/>
                <w:szCs w:val="17"/>
              </w:rPr>
              <w:t>8.27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0.97</w:t>
            </w:r>
          </w:p>
        </w:tc>
        <w:tc>
          <w:tcPr>
            <w:tcW w:type="dxa" w:w="1663"/>
          </w:tcPr>
          <w:p>
            <w:pPr>
              <w:spacing w:before="0" w:after="0" w:line="264" w:lineRule="auto"/>
            </w:pPr>
            <w:r>
              <w:rPr>
                <w:rFonts w:ascii="Arial" w:hAnsi="Arial" w:cs="Arial" w:eastAsia="Arial"/>
                <w:color w:val="0E1E3A"/>
                <w:sz w:val="17"/>
                <w:szCs w:val="17"/>
              </w:rPr>
              <w:t>0.95</w:t>
            </w:r>
          </w:p>
        </w:tc>
        <w:tc>
          <w:tcPr>
            <w:tcW w:type="dxa" w:w="1663"/>
          </w:tcPr>
          <w:p>
            <w:pPr>
              <w:spacing w:before="0" w:after="0" w:line="264" w:lineRule="auto"/>
            </w:pPr>
            <w:r>
              <w:rPr>
                <w:rFonts w:ascii="Arial" w:hAnsi="Arial" w:cs="Arial" w:eastAsia="Arial"/>
                <w:color w:val="0E1E3A"/>
                <w:sz w:val="17"/>
                <w:szCs w:val="17"/>
              </w:rPr>
              <w:t>0.94</w:t>
            </w:r>
          </w:p>
        </w:tc>
        <w:tc>
          <w:tcPr>
            <w:tcW w:type="dxa" w:w="1663"/>
          </w:tcPr>
          <w:p>
            <w:pPr>
              <w:spacing w:before="0" w:after="0" w:line="264" w:lineRule="auto"/>
            </w:pPr>
            <w:r>
              <w:rPr>
                <w:rFonts w:ascii="Arial" w:hAnsi="Arial" w:cs="Arial" w:eastAsia="Arial"/>
                <w:color w:val="0E1E3A"/>
                <w:sz w:val="17"/>
                <w:szCs w:val="17"/>
              </w:rPr>
              <w:t>0.80</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-0.50</w:t>
            </w:r>
          </w:p>
        </w:tc>
        <w:tc>
          <w:tcPr>
            <w:tcW w:type="dxa" w:w="1663"/>
          </w:tcPr>
          <w:p>
            <w:pPr>
              <w:spacing w:before="0" w:after="0" w:line="264" w:lineRule="auto"/>
            </w:pPr>
            <w:r>
              <w:rPr>
                <w:rFonts w:ascii="Arial" w:hAnsi="Arial" w:cs="Arial" w:eastAsia="Arial"/>
                <w:color w:val="0E1E3A"/>
                <w:sz w:val="17"/>
                <w:szCs w:val="17"/>
              </w:rPr>
              <w:t>0.52</w:t>
            </w:r>
          </w:p>
        </w:tc>
        <w:tc>
          <w:tcPr>
            <w:tcW w:type="dxa" w:w="1663"/>
          </w:tcPr>
          <w:p>
            <w:pPr>
              <w:spacing w:before="0" w:after="0" w:line="264" w:lineRule="auto"/>
            </w:pPr>
            <w:r>
              <w:rPr>
                <w:rFonts w:ascii="Arial" w:hAnsi="Arial" w:cs="Arial" w:eastAsia="Arial"/>
                <w:color w:val="0E1E3A"/>
                <w:sz w:val="17"/>
                <w:szCs w:val="17"/>
              </w:rPr>
              <w:t>0.27</w:t>
            </w:r>
          </w:p>
        </w:tc>
        <w:tc>
          <w:tcPr>
            <w:tcW w:type="dxa" w:w="1663"/>
          </w:tcPr>
          <w:p>
            <w:pPr>
              <w:spacing w:before="0" w:after="0" w:line="264" w:lineRule="auto"/>
            </w:pPr>
            <w:r>
              <w:rPr>
                <w:rFonts w:ascii="Arial" w:hAnsi="Arial" w:cs="Arial" w:eastAsia="Arial"/>
                <w:color w:val="0E1E3A"/>
                <w:sz w:val="17"/>
                <w:szCs w:val="17"/>
              </w:rPr>
              <w:t>0.25</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 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6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As of August 29, 2024, the Unitholders approved the buyback of up to 20 million Units (20% of the total number of Fund Units upon offering) within a period of 12 months. On May 19, 2025, the Capital Market Authority (CMA) agreed to give the Fund Manager the right to appoint a market maker.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6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Global equity markets experienced high volatility in Q2 2025 due to rising geopolitical tensions and contradictory economic indicators. However, the tensions abated with the progress of US talks on tariffs. Alkhabeer Global Equities Index rose by 9.92%, reflecting market optimism. In the United States, economic growth slowed down although the US labor market continued to show resilience and inflation declined. This supported expectations for lower interest rates in the latter part of the year. In Europe, European economies experienced mixed results, while emerging markets benefited from policy support. In the medium term, fluctuations may persist due to geopolitical developments and the uncertainty surrounding the tariffs policy. Any positive developments in this respect, as well as the abatement of political tensions and actions taken by central banks may help support equity markets.</w:t>
      </w:r>
    </w:p>
    <w:p>
      <w:pPr>
        <w:spacing w:before="0" w:after="80" w:line="312" w:lineRule="auto"/>
      </w:pPr>
      <w:r>
        <w:rPr>
          <w:rFonts w:ascii="Arial" w:hAnsi="Arial" w:cs="Arial" w:eastAsia="Arial"/>
          <w:color w:val="0E1E3A"/>
          <w:sz w:val="20"/>
          <w:szCs w:val="20"/>
        </w:rPr>
        <w:t>The latest IMF World Economic Outlook forecasts global GDP growth by 2.8% in 2025, with advanced economies projected to grow by 1.4%, and emerging markets by 3.7%.</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6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4"/>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at 31 March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5"/>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6"/>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Q2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