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1"/>
            <wp:cNvGraphicFramePr/>
            <a:graphic>
              <a:graphicData uri="http://schemas.openxmlformats.org/drawingml/2006/picture">
                <pic:pic>
                  <pic:nvPicPr>
                    <pic:cNvPr id="9031" name="banner9031.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Growth and Income Traded Fund (“the Fund”) is a closed-ended Shari’a-compliant investment traded public equity fund established in accordance with the applicable laws and regulations of the Kingdom of Saudi Arabia and regulated by the Capital Market Authority (CMA). The Fund’s investment objective is to increase the Fund’s Net Asset Value by boosting the performance of the Fund’s investments in the long term and generating current income to investors from the dividend distributions of the companies in which the Fund invests, in addition to part of the capital appreciation resulting from the growth of market value of the securities invested in. This is achieved by investing in a diversified portfolio of global equities, public and private equities, initial public offerings of companies, private placements, cash and cash equivalents.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4701</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AKGRINF AB EQUITY</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8.7698</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879,134,310</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w:t>
            </w:r>
          </w:p>
        </w:tc>
        <w:tc>
          <w:tcPr>
            <w:tcW w:type="dxa" w:w="6860"/>
          </w:tcPr>
          <w:p>
            <w:pPr>
              <w:spacing w:before="0" w:after="0" w:line="276" w:lineRule="auto"/>
            </w:pPr>
            <w:r>
              <w:rPr>
                <w:rFonts w:ascii="Arial" w:hAnsi="Arial" w:cs="Arial" w:eastAsia="Arial"/>
                <w:b/>
                <w:bCs/>
                <w:color w:val="0E1E3A"/>
                <w:sz w:val="18"/>
                <w:szCs w:val="18"/>
              </w:rPr>
              <w:t>SAR 1 BILLION</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AND 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w:t>
            </w:r>
          </w:p>
        </w:tc>
      </w:tr>
    </w:tbl>
    <w:p>
      <w:pPr>
        <w:spacing w:before="0" w:after="40" w:line="300" w:lineRule="auto"/>
      </w:pPr>
    </w:p>
    <w:p>
      <w:pPr>
        <w:spacing w:before="0" w:after="80" w:line="312" w:lineRule="auto"/>
      </w:pPr>
      <w:r>
        <w:rPr>
          <w:rFonts w:ascii="Arial" w:hAnsi="Arial" w:cs="Arial" w:eastAsia="Arial"/>
          <w:color w:val="5A6478"/>
          <w:sz w:val="17"/>
          <w:szCs w:val="17"/>
        </w:rPr>
        <w:t>* As at 29 September 2022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3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The chart shows the Fund's largest investments and sector allocation of investments.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Daily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879,134,310</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876,980,376</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TO FUND NET ASSET VALUE FOR THE REPORTING QUARTER</w:t>
            </w:r>
          </w:p>
        </w:tc>
        <w:tc>
          <w:tcPr>
            <w:tcW w:type="dxa" w:w="6860"/>
          </w:tcPr>
          <w:p>
            <w:pPr>
              <w:spacing w:before="0" w:after="0" w:line="276" w:lineRule="auto"/>
            </w:pPr>
            <w:r>
              <w:rPr>
                <w:rFonts w:ascii="Arial" w:hAnsi="Arial" w:cs="Arial" w:eastAsia="Arial"/>
                <w:b/>
                <w:bCs/>
                <w:color w:val="0E1E3A"/>
                <w:sz w:val="18"/>
                <w:szCs w:val="18"/>
              </w:rPr>
              <w:t>SAR 257,636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0.36%</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3,270,229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0.36%</w:t>
            </w:r>
          </w:p>
        </w:tc>
      </w:tr>
    </w:tbl>
    <w:p>
      <w:pPr>
        <w:spacing w:before="0" w:after="40" w:line="300" w:lineRule="auto"/>
      </w:pPr>
    </w:p>
    <w:p>
      <w:pPr>
        <w:spacing w:before="0" w:after="80" w:line="312" w:lineRule="auto"/>
      </w:pPr>
      <w:r>
        <w:rPr>
          <w:rFonts w:ascii="Arial" w:hAnsi="Arial" w:cs="Arial" w:eastAsia="Arial"/>
          <w:color w:val="5A6478"/>
          <w:sz w:val="17"/>
          <w:szCs w:val="17"/>
        </w:rPr>
        <w:t>* As at 29 September 2022 (Unaudited).</w:t>
      </w:r>
      <w:r>
        <w:br/>
      </w:r>
      <w:r>
        <w:rPr>
          <w:rFonts w:ascii="Arial" w:hAnsi="Arial" w:cs="Arial" w:eastAsia="Arial"/>
          <w:color w:val="5A6478"/>
          <w:sz w:val="17"/>
          <w:szCs w:val="17"/>
        </w:rPr>
        <w:t>** Fund's expenses and fees are total Fund expenses during the reporting quarter, excluding financing costs.</w:t>
      </w:r>
      <w:r>
        <w:br/>
      </w:r>
      <w:r>
        <w:rPr>
          <w:rFonts w:ascii="Arial" w:hAnsi="Arial" w:cs="Arial" w:eastAsia="Arial"/>
          <w:color w:val="5A6478"/>
          <w:sz w:val="17"/>
          <w:szCs w:val="17"/>
        </w:rPr>
        <w:t>*** Fund's costs are all Fund's fees and expenses, including financing costs.</w:t>
      </w:r>
      <w:r>
        <w:br/>
      </w:r>
      <w:r>
        <w:rPr>
          <w:rFonts w:ascii="Arial" w:hAnsi="Arial" w:cs="Arial" w:eastAsia="Arial"/>
          <w:color w:val="5A6478"/>
          <w:sz w:val="17"/>
          <w:szCs w:val="17"/>
        </w:rPr>
        <w:t>**** Fund's average net asset value during the reporting quarter = SAR 906,560,828.</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8"/>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LISTED SHARES</w:t>
            </w:r>
          </w:p>
        </w:tc>
        <w:tc>
          <w:tcPr>
            <w:tcW w:type="dxa" w:w="6860"/>
          </w:tcPr>
          <w:p>
            <w:pPr>
              <w:spacing w:before="0" w:after="0" w:line="276" w:lineRule="auto"/>
            </w:pPr>
            <w:r>
              <w:rPr>
                <w:rFonts w:ascii="Arial" w:hAnsi="Arial" w:cs="Arial" w:eastAsia="Arial"/>
                <w:b/>
                <w:bCs/>
                <w:color w:val="0E1E3A"/>
                <w:sz w:val="18"/>
                <w:szCs w:val="18"/>
              </w:rPr>
              <w:t>SAR 832,842,534</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46,291,776</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1,000,000,000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691,000,000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SEPTEMBER 2022</w:t>
            </w:r>
          </w:p>
        </w:tc>
        <w:tc>
          <w:tcPr>
            <w:tcW w:type="dxa" w:w="6860"/>
          </w:tcPr>
          <w:p>
            <w:pPr>
              <w:spacing w:before="0" w:after="0" w:line="276" w:lineRule="auto"/>
            </w:pPr>
            <w:r>
              <w:rPr>
                <w:rFonts w:ascii="Arial" w:hAnsi="Arial" w:cs="Arial" w:eastAsia="Arial"/>
                <w:b/>
                <w:bCs/>
                <w:color w:val="0E1E3A"/>
                <w:sz w:val="18"/>
                <w:szCs w:val="18"/>
              </w:rPr>
              <w:t>SAR 617,000,000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1"/>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2" name="Picture 9042"/>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77730"/>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Q3 (29 SEPTEMBR 2022)</w:t>
            </w:r>
          </w:p>
        </w:tc>
        <w:tc>
          <w:tcPr>
            <w:tcW w:type="dxa" w:w="6860"/>
          </w:tcPr>
          <w:p>
            <w:pPr>
              <w:spacing w:before="0" w:after="0" w:line="276" w:lineRule="auto"/>
            </w:pPr>
            <w:r>
              <w:rPr>
                <w:rFonts w:ascii="Arial" w:hAnsi="Arial" w:cs="Arial" w:eastAsia="Arial"/>
                <w:b/>
                <w:bCs/>
                <w:color w:val="0E1E3A"/>
                <w:sz w:val="18"/>
                <w:szCs w:val="18"/>
              </w:rPr>
              <w:t>SAR 6.17</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(FROM 30 JUNE 2022 TO 29 SEPTEMBER 2022)</w:t>
            </w:r>
          </w:p>
        </w:tc>
        <w:tc>
          <w:tcPr>
            <w:tcW w:type="dxa" w:w="6860"/>
          </w:tcPr>
          <w:p>
            <w:pPr>
              <w:spacing w:before="0" w:after="0" w:line="276" w:lineRule="auto"/>
            </w:pPr>
            <w:r>
              <w:rPr>
                <w:rFonts w:ascii="Arial" w:hAnsi="Arial" w:cs="Arial" w:eastAsia="Arial"/>
                <w:b/>
                <w:bCs/>
                <w:color w:val="0E1E3A"/>
                <w:sz w:val="18"/>
                <w:szCs w:val="18"/>
              </w:rPr>
              <w:t>-10.71%</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Q3 2022)</w:t>
            </w:r>
          </w:p>
        </w:tc>
        <w:tc>
          <w:tcPr>
            <w:tcW w:type="dxa" w:w="6860"/>
          </w:tcPr>
          <w:p>
            <w:pPr>
              <w:spacing w:before="0" w:after="0" w:line="276" w:lineRule="auto"/>
            </w:pPr>
            <w:r>
              <w:rPr>
                <w:rFonts w:ascii="Arial" w:hAnsi="Arial" w:cs="Arial" w:eastAsia="Arial"/>
                <w:b/>
                <w:bCs/>
                <w:color w:val="0E1E3A"/>
                <w:sz w:val="18"/>
                <w:szCs w:val="18"/>
              </w:rPr>
              <w:t>-38.30%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9.06</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6.13</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100,000,000 Units</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4"/>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may at its discretion distribute 100% of the net returns on the Fund's investments, which only include the distributions of Fund's underlying listed shares and may distribute up to 50% of the realized and unrealized net capital gains, twice a year, within Forty (40) business days after the date of issue of the semi-annual and annual financial statements. Distributions (if any) will be announced within ten (10) business days after the date of issue of the semi-annual and annual financial statements. Details of the cash distributions will be announced on Saudi Tadawul's website.</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LAST SEMI-ANNUAL PERIOD</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 DISTRIBUTIONS FOR THE LAST SEMI-ANNUAL PERIOD PER UNIT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GAINS RECEIVED ON THE FUND'S UNDERLYING LISTED SHARES</w:t>
            </w:r>
          </w:p>
        </w:tc>
        <w:tc>
          <w:tcPr>
            <w:tcW w:type="dxa" w:w="6860"/>
          </w:tcPr>
          <w:p>
            <w:pPr>
              <w:spacing w:before="0" w:after="0" w:line="276" w:lineRule="auto"/>
            </w:pPr>
            <w:r>
              <w:rPr>
                <w:rFonts w:ascii="Arial" w:hAnsi="Arial" w:cs="Arial" w:eastAsia="Arial"/>
                <w:b/>
                <w:bCs/>
                <w:color w:val="0E1E3A"/>
                <w:sz w:val="18"/>
                <w:szCs w:val="18"/>
              </w:rPr>
              <w:t>SAR 2,318,349</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(LOSS) ON THE FUND'S INVESTMENTS</w:t>
            </w:r>
          </w:p>
        </w:tc>
        <w:tc>
          <w:tcPr>
            <w:tcW w:type="dxa" w:w="6860"/>
          </w:tcPr>
          <w:p>
            <w:pPr>
              <w:spacing w:before="0" w:after="0" w:line="276" w:lineRule="auto"/>
            </w:pPr>
            <w:r>
              <w:rPr>
                <w:rFonts w:ascii="Arial" w:hAnsi="Arial" w:cs="Arial" w:eastAsia="Arial"/>
                <w:b/>
                <w:bCs/>
                <w:color w:val="0E1E3A"/>
                <w:sz w:val="18"/>
                <w:szCs w:val="18"/>
              </w:rPr>
              <w:t>SAR (100,806,364)</w:t>
            </w:r>
          </w:p>
        </w:tc>
      </w:tr>
      <w:tr>
        <w:tc>
          <w:tcPr>
            <w:tcW w:type="dxa" w:w="3118"/>
            <w:shd w:val="clear" w:color="auto" w:fill="F3F6FB"/>
          </w:tcPr>
          <w:p>
            <w:pPr>
              <w:spacing w:before="0" w:after="0" w:line="276" w:lineRule="auto"/>
            </w:pPr>
            <w:r>
              <w:rPr>
                <w:rFonts w:ascii="Arial" w:hAnsi="Arial" w:cs="Arial" w:eastAsia="Arial"/>
                <w:color w:val="5A6478"/>
                <w:sz w:val="18"/>
                <w:szCs w:val="18"/>
              </w:rPr>
              <w:t>(LOSS) ON FOREIGN CURRENCY RATE DIFFERENCES</w:t>
            </w:r>
          </w:p>
        </w:tc>
        <w:tc>
          <w:tcPr>
            <w:tcW w:type="dxa" w:w="6860"/>
          </w:tcPr>
          <w:p>
            <w:pPr>
              <w:spacing w:before="0" w:after="0" w:line="276" w:lineRule="auto"/>
            </w:pPr>
            <w:r>
              <w:rPr>
                <w:rFonts w:ascii="Arial" w:hAnsi="Arial" w:cs="Arial" w:eastAsia="Arial"/>
                <w:b/>
                <w:bCs/>
                <w:color w:val="0E1E3A"/>
                <w:sz w:val="18"/>
                <w:szCs w:val="18"/>
              </w:rPr>
              <w:t>SAR (14,699,377)</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(55,888,872)</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 TO UNIT PRICE AS AT 29 SEPTEMBER 2022</w:t>
            </w:r>
          </w:p>
        </w:tc>
        <w:tc>
          <w:tcPr>
            <w:tcW w:type="dxa" w:w="6860"/>
          </w:tcPr>
          <w:p>
            <w:pPr>
              <w:spacing w:before="0" w:after="0" w:line="276" w:lineRule="auto"/>
            </w:pPr>
            <w:r>
              <w:rPr>
                <w:rFonts w:ascii="Arial" w:hAnsi="Arial" w:cs="Arial" w:eastAsia="Arial"/>
                <w:b/>
                <w:bCs/>
                <w:color w:val="0E1E3A"/>
                <w:sz w:val="18"/>
                <w:szCs w:val="18"/>
              </w:rPr>
              <w:t>-9.06%</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5"/>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TO NET ASSET VALUE PER UNIT SINCE THE DATE OF INCEPTION</w:t>
            </w:r>
          </w:p>
        </w:tc>
        <w:tc>
          <w:tcPr>
            <w:tcW w:type="dxa" w:w="6860"/>
          </w:tcPr>
          <w:p>
            <w:pPr>
              <w:spacing w:before="0" w:after="0" w:line="276" w:lineRule="auto"/>
            </w:pPr>
            <w:r>
              <w:rPr>
                <w:rFonts w:ascii="Arial" w:hAnsi="Arial" w:cs="Arial" w:eastAsia="Arial"/>
                <w:b/>
                <w:bCs/>
                <w:color w:val="0E1E3A"/>
                <w:sz w:val="18"/>
                <w:szCs w:val="18"/>
              </w:rPr>
              <w:t>-12.31%</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Alkhabeer Global Equity Index is an index especially created for the Fund in collaboration with the Index Service Provider, who will calculate the valuations of the companies that are included in the Index and will manage the Index on behalf of the Fund. The Index includes companies which are diversified by sector and size in the largest global capital markets, as well as the largest leading companies in the Kingdom of Saudi Arabia. The companies will be filtered based on a market value exceeding US $ 100 million, and a trade value exceeding US $ 1 million per day. The Index includes 160 global companies representing the largest global capital markets, in addition to the largest 10 listed companies on the Saudi Stock Exchange, compliant with the guidelines of the Shari’a Supervisory Committee. The global companies included in the index are divided by market cap into three categories: the largest 70 in terms of market value of free float shares among large market cap companies, the largest 50 companies in terms of market value of free float shares among medium market cap companies, and the largest 40 companies in terms of market value of free float shares among small market cap companies.</w:t>
      </w:r>
    </w:p>
    <w:p>
      <w:pPr>
        <w:spacing w:before="0" w:after="80" w:line="312" w:lineRule="auto"/>
      </w:pPr>
      <w:r>
        <w:rPr>
          <w:rFonts w:ascii="Arial" w:hAnsi="Arial" w:cs="Arial" w:eastAsia="Arial"/>
          <w:color w:val="0E1E3A"/>
          <w:sz w:val="20"/>
          <w:szCs w:val="20"/>
        </w:rPr>
        <w:t>Large market cap companies are defined as companies representing the largest market capitalization. It is the segment which represents up to 70% of the aggregate capitalization of the market combined, while the medium cap segment represents more than 70% up to 85% of the aggregate market capitalization, and the small cap represents more than 85% up to 100% of the aggregate market capitalization.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GROWTH AND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ALKHABEER GLOBAL EQUITY INDEX</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SAR 9.3614</w:t>
            </w:r>
          </w:p>
        </w:tc>
        <w:tc>
          <w:tcPr>
            <w:tcW w:type="dxa" w:w="3326"/>
          </w:tcPr>
          <w:p>
            <w:pPr>
              <w:spacing w:before="0" w:after="0" w:line="264" w:lineRule="auto"/>
            </w:pPr>
            <w:r>
              <w:rPr>
                <w:rFonts w:ascii="Arial" w:hAnsi="Arial" w:cs="Arial" w:eastAsia="Arial"/>
                <w:color w:val="0E1E3A"/>
                <w:sz w:val="17"/>
                <w:szCs w:val="17"/>
              </w:rPr>
              <w:t>87.3440</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SAR 8.7698</w:t>
            </w:r>
          </w:p>
        </w:tc>
        <w:tc>
          <w:tcPr>
            <w:tcW w:type="dxa" w:w="3326"/>
          </w:tcPr>
          <w:p>
            <w:pPr>
              <w:spacing w:before="0" w:after="0" w:line="264" w:lineRule="auto"/>
            </w:pPr>
            <w:r>
              <w:rPr>
                <w:rFonts w:ascii="Arial" w:hAnsi="Arial" w:cs="Arial" w:eastAsia="Arial"/>
                <w:color w:val="0E1E3A"/>
                <w:sz w:val="17"/>
                <w:szCs w:val="17"/>
              </w:rPr>
              <w:t>81.6604</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-6.32%</w:t>
            </w:r>
          </w:p>
        </w:tc>
        <w:tc>
          <w:tcPr>
            <w:tcW w:type="dxa" w:w="3326"/>
          </w:tcPr>
          <w:p>
            <w:pPr>
              <w:spacing w:before="0" w:after="0" w:line="264" w:lineRule="auto"/>
            </w:pPr>
            <w:r>
              <w:rPr>
                <w:rFonts w:ascii="Arial" w:hAnsi="Arial" w:cs="Arial" w:eastAsia="Arial"/>
                <w:color w:val="0E1E3A"/>
                <w:sz w:val="17"/>
                <w:szCs w:val="17"/>
              </w:rPr>
              <w:t>-6.51%</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9"/>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ITEM</w:t>
            </w:r>
          </w:p>
        </w:tc>
        <w:tc>
          <w:tcPr>
            <w:tcW w:type="dxa" w:w="4989"/>
            <w:shd w:val="clear" w:color="auto" w:fill="12284B"/>
          </w:tcPr>
          <w:p>
            <w:pPr>
              <w:spacing w:before="0" w:after="0" w:line="264" w:lineRule="auto"/>
            </w:pPr>
            <w:r>
              <w:rPr>
                <w:rFonts w:ascii="Arial" w:hAnsi="Arial" w:cs="Arial" w:eastAsia="Arial"/>
                <w:b/>
                <w:bCs/>
                <w:color w:val="FFFFFF"/>
                <w:sz w:val="17"/>
                <w:szCs w:val="17"/>
              </w:rPr>
              <w:t>REPORTING QUARTER</w:t>
            </w:r>
          </w:p>
        </w:tc>
      </w:tr>
      <w:tr>
        <w:tc>
          <w:tcPr>
            <w:tcW w:type="dxa" w:w="4989"/>
          </w:tcPr>
          <w:p>
            <w:pPr>
              <w:spacing w:before="0" w:after="0" w:line="264" w:lineRule="auto"/>
            </w:pPr>
            <w:r>
              <w:rPr>
                <w:rFonts w:ascii="Arial" w:hAnsi="Arial" w:cs="Arial" w:eastAsia="Arial"/>
                <w:color w:val="0E1E3A"/>
                <w:sz w:val="17"/>
                <w:szCs w:val="17"/>
              </w:rPr>
              <w:t>TOTAL RETURN TO NET ASSET VALUE PER UNIT</w:t>
            </w:r>
          </w:p>
        </w:tc>
        <w:tc>
          <w:tcPr>
            <w:tcW w:type="dxa" w:w="4989"/>
          </w:tcPr>
          <w:p>
            <w:pPr>
              <w:spacing w:before="0" w:after="0" w:line="264" w:lineRule="auto"/>
            </w:pPr>
            <w:r>
              <w:rPr>
                <w:rFonts w:ascii="Arial" w:hAnsi="Arial" w:cs="Arial" w:eastAsia="Arial"/>
                <w:color w:val="0E1E3A"/>
                <w:sz w:val="17"/>
                <w:szCs w:val="17"/>
              </w:rPr>
              <w:t>-6.32%</w:t>
            </w:r>
          </w:p>
        </w:tc>
      </w:tr>
      <w:tr>
        <w:tc>
          <w:tcPr>
            <w:tcW w:type="dxa" w:w="4989"/>
          </w:tcPr>
          <w:p>
            <w:pPr>
              <w:spacing w:before="0" w:after="0" w:line="264" w:lineRule="auto"/>
            </w:pPr>
            <w:r>
              <w:rPr>
                <w:rFonts w:ascii="Arial" w:hAnsi="Arial" w:cs="Arial" w:eastAsia="Arial"/>
                <w:color w:val="0E1E3A"/>
                <w:sz w:val="17"/>
                <w:szCs w:val="17"/>
              </w:rPr>
              <w:t>BENCHMARK PERFORMANCE</w:t>
            </w:r>
          </w:p>
        </w:tc>
        <w:tc>
          <w:tcPr>
            <w:tcW w:type="dxa" w:w="4989"/>
          </w:tcPr>
          <w:p>
            <w:pPr>
              <w:spacing w:before="0" w:after="0" w:line="264" w:lineRule="auto"/>
            </w:pPr>
            <w:r>
              <w:rPr>
                <w:rFonts w:ascii="Arial" w:hAnsi="Arial" w:cs="Arial" w:eastAsia="Arial"/>
                <w:color w:val="0E1E3A"/>
                <w:sz w:val="17"/>
                <w:szCs w:val="17"/>
              </w:rPr>
              <w:t>-6.51%</w:t>
            </w:r>
          </w:p>
        </w:tc>
      </w:tr>
      <w:tr>
        <w:tc>
          <w:tcPr>
            <w:tcW w:type="dxa" w:w="4989"/>
          </w:tcPr>
          <w:p>
            <w:pPr>
              <w:spacing w:before="0" w:after="0" w:line="264" w:lineRule="auto"/>
            </w:pPr>
            <w:r>
              <w:rPr>
                <w:rFonts w:ascii="Arial" w:hAnsi="Arial" w:cs="Arial" w:eastAsia="Arial"/>
                <w:color w:val="0E1E3A"/>
                <w:sz w:val="17"/>
                <w:szCs w:val="17"/>
              </w:rPr>
              <w:t>PERFORMANCE SPREAD</w:t>
            </w:r>
          </w:p>
        </w:tc>
        <w:tc>
          <w:tcPr>
            <w:tcW w:type="dxa" w:w="4989"/>
          </w:tcPr>
          <w:p>
            <w:pPr>
              <w:spacing w:before="0" w:after="0" w:line="264" w:lineRule="auto"/>
            </w:pPr>
            <w:r>
              <w:rPr>
                <w:rFonts w:ascii="Arial" w:hAnsi="Arial" w:cs="Arial" w:eastAsia="Arial"/>
                <w:color w:val="0E1E3A"/>
                <w:sz w:val="17"/>
                <w:szCs w:val="17"/>
              </w:rPr>
              <w:t>0.19%</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0"/>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4989"/>
            <w:shd w:val="clear" w:color="auto" w:fill="12284B"/>
          </w:tcPr>
          <w:p>
            <w:pPr>
              <w:spacing w:before="0" w:after="0" w:line="264" w:lineRule="auto"/>
            </w:pPr>
            <w:r>
              <w:rPr>
                <w:rFonts w:ascii="Arial" w:hAnsi="Arial" w:cs="Arial" w:eastAsia="Arial"/>
                <w:b/>
                <w:bCs/>
                <w:color w:val="FFFFFF"/>
                <w:sz w:val="17"/>
                <w:szCs w:val="17"/>
              </w:rPr>
              <w:t>REPORTING QUARTER</w:t>
            </w:r>
          </w:p>
        </w:tc>
      </w:tr>
      <w:tr>
        <w:tc>
          <w:tcPr>
            <w:tcW w:type="dxa" w:w="4989"/>
          </w:tcPr>
          <w:p>
            <w:pPr>
              <w:spacing w:before="0" w:after="0" w:line="264" w:lineRule="auto"/>
            </w:pPr>
            <w:r>
              <w:rPr>
                <w:rFonts w:ascii="Arial" w:hAnsi="Arial" w:cs="Arial" w:eastAsia="Arial"/>
                <w:color w:val="0E1E3A"/>
                <w:sz w:val="17"/>
                <w:szCs w:val="17"/>
              </w:rPr>
              <w:t>STANDARD DEVIATION1</w:t>
            </w:r>
          </w:p>
        </w:tc>
        <w:tc>
          <w:tcPr>
            <w:tcW w:type="dxa" w:w="4989"/>
          </w:tcPr>
          <w:p>
            <w:pPr>
              <w:spacing w:before="0" w:after="0" w:line="264" w:lineRule="auto"/>
            </w:pPr>
            <w:r>
              <w:rPr>
                <w:rFonts w:ascii="Arial" w:hAnsi="Arial" w:cs="Arial" w:eastAsia="Arial"/>
                <w:color w:val="0E1E3A"/>
                <w:sz w:val="17"/>
                <w:szCs w:val="17"/>
              </w:rPr>
              <w:t>8.81</w:t>
            </w:r>
          </w:p>
        </w:tc>
      </w:tr>
      <w:tr>
        <w:tc>
          <w:tcPr>
            <w:tcW w:type="dxa" w:w="4989"/>
          </w:tcPr>
          <w:p>
            <w:pPr>
              <w:spacing w:before="0" w:after="0" w:line="264" w:lineRule="auto"/>
            </w:pPr>
            <w:r>
              <w:rPr>
                <w:rFonts w:ascii="Arial" w:hAnsi="Arial" w:cs="Arial" w:eastAsia="Arial"/>
                <w:color w:val="0E1E3A"/>
                <w:sz w:val="17"/>
                <w:szCs w:val="17"/>
              </w:rPr>
              <w:t>SHARPE RATIO2</w:t>
            </w:r>
          </w:p>
        </w:tc>
        <w:tc>
          <w:tcPr>
            <w:tcW w:type="dxa" w:w="4989"/>
          </w:tcPr>
          <w:p>
            <w:pPr>
              <w:spacing w:before="0" w:after="0" w:line="264" w:lineRule="auto"/>
            </w:pPr>
            <w:r>
              <w:rPr>
                <w:rFonts w:ascii="Arial" w:hAnsi="Arial" w:cs="Arial" w:eastAsia="Arial"/>
                <w:color w:val="0E1E3A"/>
                <w:sz w:val="17"/>
                <w:szCs w:val="17"/>
              </w:rPr>
              <w:t>-1.04</w:t>
            </w:r>
          </w:p>
        </w:tc>
      </w:tr>
      <w:tr>
        <w:tc>
          <w:tcPr>
            <w:tcW w:type="dxa" w:w="4989"/>
          </w:tcPr>
          <w:p>
            <w:pPr>
              <w:spacing w:before="0" w:after="0" w:line="264" w:lineRule="auto"/>
            </w:pPr>
            <w:r>
              <w:rPr>
                <w:rFonts w:ascii="Arial" w:hAnsi="Arial" w:cs="Arial" w:eastAsia="Arial"/>
                <w:color w:val="0E1E3A"/>
                <w:sz w:val="17"/>
                <w:szCs w:val="17"/>
              </w:rPr>
              <w:t>TRACKING ERROR3</w:t>
            </w:r>
          </w:p>
        </w:tc>
        <w:tc>
          <w:tcPr>
            <w:tcW w:type="dxa" w:w="4989"/>
          </w:tcPr>
          <w:p>
            <w:pPr>
              <w:spacing w:before="0" w:after="0" w:line="264" w:lineRule="auto"/>
            </w:pPr>
            <w:r>
              <w:rPr>
                <w:rFonts w:ascii="Arial" w:hAnsi="Arial" w:cs="Arial" w:eastAsia="Arial"/>
                <w:color w:val="0E1E3A"/>
                <w:sz w:val="17"/>
                <w:szCs w:val="17"/>
              </w:rPr>
              <w:t>7.92</w:t>
            </w:r>
          </w:p>
        </w:tc>
      </w:tr>
      <w:tr>
        <w:tc>
          <w:tcPr>
            <w:tcW w:type="dxa" w:w="4989"/>
          </w:tcPr>
          <w:p>
            <w:pPr>
              <w:spacing w:before="0" w:after="0" w:line="264" w:lineRule="auto"/>
            </w:pPr>
            <w:r>
              <w:rPr>
                <w:rFonts w:ascii="Arial" w:hAnsi="Arial" w:cs="Arial" w:eastAsia="Arial"/>
                <w:color w:val="0E1E3A"/>
                <w:sz w:val="17"/>
                <w:szCs w:val="17"/>
              </w:rPr>
              <w:t>BETA4</w:t>
            </w:r>
          </w:p>
        </w:tc>
        <w:tc>
          <w:tcPr>
            <w:tcW w:type="dxa" w:w="4989"/>
          </w:tcPr>
          <w:p>
            <w:pPr>
              <w:spacing w:before="0" w:after="0" w:line="264" w:lineRule="auto"/>
            </w:pPr>
            <w:r>
              <w:rPr>
                <w:rFonts w:ascii="Arial" w:hAnsi="Arial" w:cs="Arial" w:eastAsia="Arial"/>
                <w:color w:val="0E1E3A"/>
                <w:sz w:val="17"/>
                <w:szCs w:val="17"/>
              </w:rPr>
              <w:t>0.59</w:t>
            </w:r>
          </w:p>
        </w:tc>
      </w:tr>
      <w:tr>
        <w:tc>
          <w:tcPr>
            <w:tcW w:type="dxa" w:w="4989"/>
          </w:tcPr>
          <w:p>
            <w:pPr>
              <w:spacing w:before="0" w:after="0" w:line="264" w:lineRule="auto"/>
            </w:pPr>
            <w:r>
              <w:rPr>
                <w:rFonts w:ascii="Arial" w:hAnsi="Arial" w:cs="Arial" w:eastAsia="Arial"/>
                <w:color w:val="0E1E3A"/>
                <w:sz w:val="17"/>
                <w:szCs w:val="17"/>
              </w:rPr>
              <w:t>ALPHA5</w:t>
            </w:r>
          </w:p>
        </w:tc>
        <w:tc>
          <w:tcPr>
            <w:tcW w:type="dxa" w:w="4989"/>
          </w:tcPr>
          <w:p>
            <w:pPr>
              <w:spacing w:before="0" w:after="0" w:line="264" w:lineRule="auto"/>
            </w:pPr>
            <w:r>
              <w:rPr>
                <w:rFonts w:ascii="Arial" w:hAnsi="Arial" w:cs="Arial" w:eastAsia="Arial"/>
                <w:color w:val="0E1E3A"/>
                <w:sz w:val="17"/>
                <w:szCs w:val="17"/>
              </w:rPr>
              <w:t>0.16</w:t>
            </w:r>
          </w:p>
        </w:tc>
      </w:tr>
      <w:tr>
        <w:tc>
          <w:tcPr>
            <w:tcW w:type="dxa" w:w="4989"/>
          </w:tcPr>
          <w:p>
            <w:pPr>
              <w:spacing w:before="0" w:after="0" w:line="264" w:lineRule="auto"/>
            </w:pPr>
            <w:r>
              <w:rPr>
                <w:rFonts w:ascii="Arial" w:hAnsi="Arial" w:cs="Arial" w:eastAsia="Arial"/>
                <w:color w:val="0E1E3A"/>
                <w:sz w:val="17"/>
                <w:szCs w:val="17"/>
              </w:rPr>
              <w:t>INFORMATION RATIO6</w:t>
            </w:r>
          </w:p>
        </w:tc>
        <w:tc>
          <w:tcPr>
            <w:tcW w:type="dxa" w:w="4989"/>
          </w:tcPr>
          <w:p>
            <w:pPr>
              <w:spacing w:before="0" w:after="0" w:line="264" w:lineRule="auto"/>
            </w:pPr>
            <w:r>
              <w:rPr>
                <w:rFonts w:ascii="Arial" w:hAnsi="Arial" w:cs="Arial" w:eastAsia="Arial"/>
                <w:color w:val="0E1E3A"/>
                <w:sz w:val="17"/>
                <w:szCs w:val="17"/>
              </w:rPr>
              <w:t>0.02</w:t>
            </w:r>
          </w:p>
        </w:tc>
      </w:tr>
    </w:tbl>
    <w:p>
      <w:pPr>
        <w:spacing w:before="0" w:after="40" w:line="300" w:lineRule="auto"/>
      </w:pPr>
    </w:p>
    <w:p>
      <w:pPr>
        <w:spacing w:before="0" w:after="80" w:line="312" w:lineRule="auto"/>
      </w:pPr>
      <w:r>
        <w:rPr>
          <w:rFonts w:ascii="Arial" w:hAnsi="Arial" w:cs="Arial" w:eastAsia="Arial"/>
          <w:color w:val="5A6478"/>
          <w:sz w:val="17"/>
          <w:szCs w:val="17"/>
        </w:rPr>
        <w:t>1.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2. Sharpe Ratio is a risk-adjusted performance measure. It is calculated as the difference of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3.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4.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5. Alpha measures any excess return achieved by the Fund compared to the performance of the index.</w:t>
      </w:r>
      <w:r>
        <w:br/>
      </w:r>
      <w:r>
        <w:rPr>
          <w:rFonts w:ascii="Arial" w:hAnsi="Arial" w:cs="Arial" w:eastAsia="Arial"/>
          <w:color w:val="5A6478"/>
          <w:sz w:val="17"/>
          <w:szCs w:val="17"/>
        </w:rPr>
        <w:t>6. Information Ratio is a risk-adjusted performance measure. It is calculated as the active return of the Fund Manager, divided by its tracking error. The higher the Information ratio, the higher the Fund Manager ability to generate excess returns per Unit of excess risk.</w:t>
      </w:r>
      <w:r>
        <w:br/>
      </w:r>
      <w:r>
        <w:rPr>
          <w:rFonts w:ascii="Arial" w:hAnsi="Arial" w:cs="Arial" w:eastAsia="Arial"/>
          <w:color w:val="5A6478"/>
          <w:sz w:val="17"/>
          <w:szCs w:val="17"/>
        </w:rPr>
        <w:t>The performance and risk parameters were calculated based on the Unit's net value.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1"/>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 FUNDAMENTAL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5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GLOBAL MARKETS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global equity markets witnessed increasing volatility in 2022 driven fundamentally by interest rates, inflation, supply chain interruptions, China’s Zero-Covid Approach and Europe’s geo-political concerns. These pressures on the markets forced expectations of growth and earnings to be downsized across sectors and companies. Consequently, the performance of the equity markets was weak, and major global indices suffered double digit declines.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On the bright side, the IMF expected global GDP growth to be positive, reaching 3.2% in 2022. Developed markets are also expected to grow by 2.5%, while emerging markets grow by 3.6%.</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Global market valuations are currently in line with their historical levels. Fund flows to equity markets are expected to increase in the coming quarters.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3"/>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NET UNIT VALUE PERFORMANCE COMPARED TO THE BENCHMARK SINCE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4" name="Picture 9054"/>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3072864"/>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5"/>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56"/>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Q3 2022</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