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3"/>
            <wp:cNvGraphicFramePr/>
            <a:graphic>
              <a:graphicData uri="http://schemas.openxmlformats.org/drawingml/2006/picture">
                <pic:pic>
                  <pic:nvPicPr>
                    <pic:cNvPr id="9033" name="banner903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10.2411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776,723,989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2023م (غير مدققة).</w:t>
      </w:r>
      <w:r>
        <w:br/>
      </w:r>
      <w:r>
        <w:rPr>
          <w:rFonts w:ascii="Arial" w:hAnsi="Arial" w:cs="Arial" w:eastAsia="Arial"/>
          <w:color w:val="5A6478"/>
          <w:sz w:val="17"/>
          <w:szCs w:val="17"/>
          <w:rtl/>
        </w:rPr>
        <w:t>** يتضمن رأس مال الصندوق مبلغ 243,711,110 ريال سعودي، وهو ما يمثل قيمة الوحدات المعاد شرائها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776,723,989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774,522,941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453,800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‎0.047%‎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2,407,933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‎0.25%‎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968,915,573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69297"/>
            <wp:docPr id="8" name="Picture 904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69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25297"/>
            <wp:docPr id="10"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للشركات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539027"/>
            <wp:docPr id="12" name="Picture 904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539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682,042,888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94,681,101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شرائها من قبل الصندوق بغرض إلغائها، بعدد (24,371,111 وحدة) كما في 30 سبتمبر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6" name="Picture 9048"/>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(28 سبتمبر 2023م)</w:t>
            </w:r>
          </w:p>
        </w:tc>
        <w:tc>
          <w:tcPr>
            <w:tcW w:type="dxa" w:w="6860"/>
          </w:tcPr>
          <w:p>
            <w:pPr>
              <w:bidi w:val="1"/>
              <w:spacing w:before="0" w:after="0" w:line="276" w:lineRule="auto"/>
            </w:pPr>
            <w:r>
              <w:rPr>
                <w:rFonts w:ascii="Arial" w:hAnsi="Arial" w:cs="Arial" w:eastAsia="Arial"/>
                <w:b/>
                <w:bCs/>
                <w:color w:val="0E1E3A"/>
                <w:sz w:val="18"/>
                <w:szCs w:val="18"/>
                <w:rtl/>
              </w:rPr>
              <w:t>8.65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30 يونيو 2023م إلى 30 سبتمبر2023م)</w:t>
            </w:r>
          </w:p>
        </w:tc>
        <w:tc>
          <w:tcPr>
            <w:tcW w:type="dxa" w:w="6860"/>
          </w:tcPr>
          <w:p>
            <w:pPr>
              <w:bidi w:val="1"/>
              <w:spacing w:before="0" w:after="0" w:line="276" w:lineRule="auto"/>
            </w:pPr>
            <w:r>
              <w:rPr>
                <w:rFonts w:ascii="Arial" w:hAnsi="Arial" w:cs="Arial" w:eastAsia="Arial"/>
                <w:b/>
                <w:bCs/>
                <w:color w:val="0E1E3A"/>
                <w:sz w:val="18"/>
                <w:szCs w:val="18"/>
              </w:rPr>
              <w:t>‎6.66%‎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2023م)</w:t>
            </w:r>
          </w:p>
        </w:tc>
        <w:tc>
          <w:tcPr>
            <w:tcW w:type="dxa" w:w="6860"/>
          </w:tcPr>
          <w:p>
            <w:pPr>
              <w:bidi w:val="1"/>
              <w:spacing w:before="0" w:after="0" w:line="276" w:lineRule="auto"/>
            </w:pPr>
            <w:r>
              <w:rPr>
                <w:rFonts w:ascii="Arial" w:hAnsi="Arial" w:cs="Arial" w:eastAsia="Arial"/>
                <w:b/>
                <w:bCs/>
                <w:color w:val="0E1E3A"/>
                <w:sz w:val="18"/>
                <w:szCs w:val="18"/>
              </w:rPr>
              <w:t>‎-13.50%‎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الثالث 2023م)</w:t>
            </w:r>
          </w:p>
        </w:tc>
        <w:tc>
          <w:tcPr>
            <w:tcW w:type="dxa" w:w="6860"/>
          </w:tcPr>
          <w:p>
            <w:pPr>
              <w:bidi w:val="1"/>
              <w:spacing w:before="0" w:after="0" w:line="276" w:lineRule="auto"/>
            </w:pPr>
            <w:r>
              <w:rPr>
                <w:rFonts w:ascii="Arial" w:hAnsi="Arial" w:cs="Arial" w:eastAsia="Arial"/>
                <w:b/>
                <w:bCs/>
                <w:color w:val="0E1E3A"/>
                <w:sz w:val="18"/>
                <w:szCs w:val="18"/>
              </w:rPr>
              <w:t>‎-4.55%‎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28 سبتمبر 2023م)*</w:t>
            </w:r>
          </w:p>
        </w:tc>
        <w:tc>
          <w:tcPr>
            <w:tcW w:type="dxa" w:w="6860"/>
          </w:tcPr>
          <w:p>
            <w:pPr>
              <w:bidi w:val="1"/>
              <w:spacing w:before="0" w:after="0" w:line="276" w:lineRule="auto"/>
            </w:pPr>
            <w:r>
              <w:rPr>
                <w:rFonts w:ascii="Arial" w:hAnsi="Arial" w:cs="Arial" w:eastAsia="Arial"/>
                <w:b/>
                <w:bCs/>
                <w:color w:val="0E1E3A"/>
                <w:sz w:val="18"/>
                <w:szCs w:val="18"/>
                <w:rtl/>
              </w:rPr>
              <w:t>75,628,889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*بعد خصم الوحدات المعاد شرائها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النصف 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حيث يقوم الصندوق بتوزيع الأرباح الرأسمالية (إن وجدت) المحققة وغير المحققة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79,225,591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الأولى</w:t>
            </w:r>
          </w:p>
        </w:tc>
        <w:tc>
          <w:tcPr>
            <w:tcW w:type="dxa" w:w="6860"/>
          </w:tcPr>
          <w:p>
            <w:pPr>
              <w:bidi w:val="1"/>
              <w:spacing w:before="0" w:after="0" w:line="276" w:lineRule="auto"/>
            </w:pPr>
            <w:r>
              <w:rPr>
                <w:rFonts w:ascii="Arial" w:hAnsi="Arial" w:cs="Arial" w:eastAsia="Arial"/>
                <w:b/>
                <w:bCs/>
                <w:color w:val="0E1E3A"/>
                <w:sz w:val="18"/>
                <w:szCs w:val="18"/>
              </w:rPr>
              <w:t>‎9.30%‎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‎10.75%‎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2,862,685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44,672,773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(67,277,534)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(3,995,644)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(23,737,720)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30 سبتمبر 2023م</w:t>
            </w:r>
          </w:p>
        </w:tc>
        <w:tc>
          <w:tcPr>
            <w:tcW w:type="dxa" w:w="6860"/>
          </w:tcPr>
          <w:p>
            <w:pPr>
              <w:bidi w:val="1"/>
              <w:spacing w:before="0" w:after="0" w:line="276" w:lineRule="auto"/>
            </w:pPr>
            <w:r>
              <w:rPr>
                <w:rFonts w:ascii="Arial" w:hAnsi="Arial" w:cs="Arial" w:eastAsia="Arial"/>
                <w:b/>
                <w:bCs/>
                <w:color w:val="0E1E3A"/>
                <w:sz w:val="18"/>
                <w:szCs w:val="18"/>
              </w:rPr>
              <w:t>‎-3.63%‎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*عدد الوحدات بتاريخ استحقاق التوزيع كان 85,188,808 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‎11.71%‎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w:t>
            </w:r>
          </w:p>
        </w:tc>
        <w:tc>
          <w:tcPr>
            <w:tcW w:type="dxa" w:w="6860"/>
          </w:tcPr>
          <w:p>
            <w:pPr>
              <w:bidi w:val="1"/>
              <w:spacing w:before="0" w:after="0" w:line="276" w:lineRule="auto"/>
            </w:pPr>
            <w:r>
              <w:rPr>
                <w:rFonts w:ascii="Arial" w:hAnsi="Arial" w:cs="Arial" w:eastAsia="Arial"/>
                <w:b/>
                <w:bCs/>
                <w:color w:val="0E1E3A"/>
                <w:sz w:val="18"/>
                <w:szCs w:val="18"/>
                <w:rtl/>
              </w:rPr>
              <w:t>19.00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11.0865 ر.س.</w:t>
            </w:r>
          </w:p>
        </w:tc>
        <w:tc>
          <w:tcPr>
            <w:tcW w:type="dxa" w:w="3326"/>
          </w:tcPr>
          <w:p>
            <w:pPr>
              <w:bidi w:val="1"/>
              <w:spacing w:before="0" w:after="0" w:line="264" w:lineRule="auto"/>
            </w:pPr>
            <w:r>
              <w:rPr>
                <w:rFonts w:ascii="Arial" w:hAnsi="Arial" w:cs="Arial" w:eastAsia="Arial"/>
                <w:color w:val="0E1E3A"/>
                <w:sz w:val="17"/>
                <w:szCs w:val="17"/>
                <w:rtl/>
              </w:rPr>
              <w:t>103.35161</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10.2411 ر.س*.</w:t>
            </w:r>
          </w:p>
        </w:tc>
        <w:tc>
          <w:tcPr>
            <w:tcW w:type="dxa" w:w="3326"/>
          </w:tcPr>
          <w:p>
            <w:pPr>
              <w:bidi w:val="1"/>
              <w:spacing w:before="0" w:after="0" w:line="264" w:lineRule="auto"/>
            </w:pPr>
            <w:r>
              <w:rPr>
                <w:rFonts w:ascii="Arial" w:hAnsi="Arial" w:cs="Arial" w:eastAsia="Arial"/>
                <w:color w:val="0E1E3A"/>
                <w:sz w:val="17"/>
                <w:szCs w:val="17"/>
                <w:rtl/>
              </w:rPr>
              <w:t>99.3959</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tl/>
              </w:rPr>
              <w:t>*</w:t>
            </w:r>
            <w:r>
              <w:rPr>
                <w:rFonts w:ascii="Arial" w:hAnsi="Arial" w:cs="Arial" w:eastAsia="Arial"/>
                <w:color w:val="0E1E3A"/>
                <w:sz w:val="17"/>
                <w:szCs w:val="17"/>
              </w:rPr>
              <w:t>‎-7.63%‎</w:t>
            </w:r>
          </w:p>
        </w:tc>
        <w:tc>
          <w:tcPr>
            <w:tcW w:type="dxa" w:w="3326"/>
          </w:tcPr>
          <w:p>
            <w:pPr>
              <w:bidi w:val="1"/>
              <w:spacing w:before="0" w:after="0" w:line="264" w:lineRule="auto"/>
            </w:pPr>
            <w:r>
              <w:rPr>
                <w:rFonts w:ascii="Arial" w:hAnsi="Arial" w:cs="Arial" w:eastAsia="Arial"/>
                <w:color w:val="0E1E3A"/>
                <w:sz w:val="17"/>
                <w:szCs w:val="17"/>
              </w:rPr>
              <w:t>‎-3.83%‎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*ملاحظة أن جزء من التغيير في صافي قيمة الوحدة يرجع إلى قيام مدير الصندوق بتوزيعات نقدية خلال الفترة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‎0.82%‎</w:t>
            </w:r>
          </w:p>
        </w:tc>
        <w:tc>
          <w:tcPr>
            <w:tcW w:type="dxa" w:w="1663"/>
          </w:tcPr>
          <w:p>
            <w:pPr>
              <w:bidi w:val="1"/>
              <w:spacing w:before="0" w:after="0" w:line="264" w:lineRule="auto"/>
            </w:pPr>
            <w:r>
              <w:rPr>
                <w:rFonts w:ascii="Arial" w:hAnsi="Arial" w:cs="Arial" w:eastAsia="Arial"/>
                <w:color w:val="0E1E3A"/>
                <w:sz w:val="17"/>
                <w:szCs w:val="17"/>
              </w:rPr>
              <w:t>‎18.39%‎</w:t>
            </w:r>
          </w:p>
        </w:tc>
        <w:tc>
          <w:tcPr>
            <w:tcW w:type="dxa" w:w="1663"/>
          </w:tcPr>
          <w:p>
            <w:pPr>
              <w:bidi w:val="1"/>
              <w:spacing w:before="0" w:after="0" w:line="264" w:lineRule="auto"/>
            </w:pPr>
            <w:r>
              <w:rPr>
                <w:rFonts w:ascii="Arial" w:hAnsi="Arial" w:cs="Arial" w:eastAsia="Arial"/>
                <w:color w:val="0E1E3A"/>
                <w:sz w:val="17"/>
                <w:szCs w:val="17"/>
              </w:rPr>
              <w:t>‎27.45%‎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‎-3.83%‎</w:t>
            </w:r>
          </w:p>
        </w:tc>
        <w:tc>
          <w:tcPr>
            <w:tcW w:type="dxa" w:w="1663"/>
          </w:tcPr>
          <w:p>
            <w:pPr>
              <w:bidi w:val="1"/>
              <w:spacing w:before="0" w:after="0" w:line="264" w:lineRule="auto"/>
            </w:pPr>
            <w:r>
              <w:rPr>
                <w:rFonts w:ascii="Arial" w:hAnsi="Arial" w:cs="Arial" w:eastAsia="Arial"/>
                <w:color w:val="0E1E3A"/>
                <w:sz w:val="17"/>
                <w:szCs w:val="17"/>
              </w:rPr>
              <w:t>‎11.98%‎</w:t>
            </w:r>
          </w:p>
        </w:tc>
        <w:tc>
          <w:tcPr>
            <w:tcW w:type="dxa" w:w="1663"/>
          </w:tcPr>
          <w:p>
            <w:pPr>
              <w:bidi w:val="1"/>
              <w:spacing w:before="0" w:after="0" w:line="264" w:lineRule="auto"/>
            </w:pPr>
            <w:r>
              <w:rPr>
                <w:rFonts w:ascii="Arial" w:hAnsi="Arial" w:cs="Arial" w:eastAsia="Arial"/>
                <w:color w:val="0E1E3A"/>
                <w:sz w:val="17"/>
                <w:szCs w:val="17"/>
              </w:rPr>
              <w:t>‎21.70%‎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‎4.65%‎</w:t>
            </w:r>
          </w:p>
        </w:tc>
        <w:tc>
          <w:tcPr>
            <w:tcW w:type="dxa" w:w="1663"/>
          </w:tcPr>
          <w:p>
            <w:pPr>
              <w:bidi w:val="1"/>
              <w:spacing w:before="0" w:after="0" w:line="264" w:lineRule="auto"/>
            </w:pPr>
            <w:r>
              <w:rPr>
                <w:rFonts w:ascii="Arial" w:hAnsi="Arial" w:cs="Arial" w:eastAsia="Arial"/>
                <w:color w:val="0E1E3A"/>
                <w:sz w:val="17"/>
                <w:szCs w:val="17"/>
              </w:rPr>
              <w:t>‎6.41%‎</w:t>
            </w:r>
          </w:p>
        </w:tc>
        <w:tc>
          <w:tcPr>
            <w:tcW w:type="dxa" w:w="1663"/>
          </w:tcPr>
          <w:p>
            <w:pPr>
              <w:bidi w:val="1"/>
              <w:spacing w:before="0" w:after="0" w:line="264" w:lineRule="auto"/>
            </w:pPr>
            <w:r>
              <w:rPr>
                <w:rFonts w:ascii="Arial" w:hAnsi="Arial" w:cs="Arial" w:eastAsia="Arial"/>
                <w:color w:val="0E1E3A"/>
                <w:sz w:val="17"/>
                <w:szCs w:val="17"/>
              </w:rPr>
              <w:t>‎5.75%‎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سعر الوحدة بالإضافة إلى الأرباح الموزعة (إن وجدت).</w:t>
      </w:r>
      <w:r>
        <w:br/>
      </w:r>
      <w:r>
        <w:rPr>
          <w:rFonts w:ascii="Arial" w:hAnsi="Arial" w:cs="Arial" w:eastAsia="Arial"/>
          <w:color w:val="5A6478"/>
          <w:sz w:val="17"/>
          <w:szCs w:val="17"/>
          <w:rtl/>
        </w:rPr>
        <w:t>** عن الفترة من 30 يونيو 2023م إلى 30 سبتمبر 2023م متضمنة التوزيعات النقدية بقيمة 0.93 ر.س.</w:t>
      </w:r>
      <w:r>
        <w:br/>
      </w:r>
      <w:r>
        <w:rPr>
          <w:rFonts w:ascii="Arial" w:hAnsi="Arial" w:cs="Arial" w:eastAsia="Arial"/>
          <w:color w:val="5A6478"/>
          <w:sz w:val="17"/>
          <w:szCs w:val="17"/>
          <w:rtl/>
        </w:rPr>
        <w:t>*** عن الفترة من 31 ديسمبر 2022م إلى 30 سبتمبر 2023م متضمنة التوزيعات النقدية بقيمة 0.93 ر.س.</w:t>
      </w:r>
      <w:r>
        <w:br/>
      </w:r>
      <w:r>
        <w:rPr>
          <w:rFonts w:ascii="Arial" w:hAnsi="Arial" w:cs="Arial" w:eastAsia="Arial"/>
          <w:color w:val="5A6478"/>
          <w:sz w:val="17"/>
          <w:szCs w:val="17"/>
          <w:rtl/>
        </w:rPr>
        <w:t>**** عن الفترة من 30 سبتمبر 2022م إلى 30 سبتمبر 2023م متضمنة توزيعات نقدية بقيمة 0.93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4.59</w:t>
            </w:r>
          </w:p>
        </w:tc>
        <w:tc>
          <w:tcPr>
            <w:tcW w:type="dxa" w:w="1663"/>
          </w:tcPr>
          <w:p>
            <w:pPr>
              <w:bidi w:val="1"/>
              <w:spacing w:before="0" w:after="0" w:line="264" w:lineRule="auto"/>
            </w:pPr>
            <w:r>
              <w:rPr>
                <w:rFonts w:ascii="Arial" w:hAnsi="Arial" w:cs="Arial" w:eastAsia="Arial"/>
                <w:color w:val="0E1E3A"/>
                <w:sz w:val="17"/>
                <w:szCs w:val="17"/>
                <w:rtl/>
              </w:rPr>
              <w:t>9.00</w:t>
            </w:r>
          </w:p>
        </w:tc>
        <w:tc>
          <w:tcPr>
            <w:tcW w:type="dxa" w:w="1663"/>
          </w:tcPr>
          <w:p>
            <w:pPr>
              <w:bidi w:val="1"/>
              <w:spacing w:before="0" w:after="0" w:line="264" w:lineRule="auto"/>
            </w:pPr>
            <w:r>
              <w:rPr>
                <w:rFonts w:ascii="Arial" w:hAnsi="Arial" w:cs="Arial" w:eastAsia="Arial"/>
                <w:color w:val="0E1E3A"/>
                <w:sz w:val="17"/>
                <w:szCs w:val="17"/>
                <w:rtl/>
              </w:rPr>
              <w:t>13.36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-1.03</w:t>
            </w:r>
          </w:p>
        </w:tc>
        <w:tc>
          <w:tcPr>
            <w:tcW w:type="dxa" w:w="1663"/>
          </w:tcPr>
          <w:p>
            <w:pPr>
              <w:bidi w:val="1"/>
              <w:spacing w:before="0" w:after="0" w:line="264" w:lineRule="auto"/>
            </w:pPr>
            <w:r>
              <w:rPr>
                <w:rFonts w:ascii="Arial" w:hAnsi="Arial" w:cs="Arial" w:eastAsia="Arial"/>
                <w:color w:val="0E1E3A"/>
                <w:sz w:val="17"/>
                <w:szCs w:val="17"/>
                <w:rtl/>
              </w:rPr>
              <w:t>1.49</w:t>
            </w:r>
          </w:p>
        </w:tc>
        <w:tc>
          <w:tcPr>
            <w:tcW w:type="dxa" w:w="1663"/>
          </w:tcPr>
          <w:p>
            <w:pPr>
              <w:bidi w:val="1"/>
              <w:spacing w:before="0" w:after="0" w:line="264" w:lineRule="auto"/>
            </w:pPr>
            <w:r>
              <w:rPr>
                <w:rFonts w:ascii="Arial" w:hAnsi="Arial" w:cs="Arial" w:eastAsia="Arial"/>
                <w:color w:val="0E1E3A"/>
                <w:sz w:val="17"/>
                <w:szCs w:val="17"/>
                <w:rtl/>
              </w:rPr>
              <w:t>1.84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2.46</w:t>
            </w:r>
          </w:p>
        </w:tc>
        <w:tc>
          <w:tcPr>
            <w:tcW w:type="dxa" w:w="1663"/>
          </w:tcPr>
          <w:p>
            <w:pPr>
              <w:bidi w:val="1"/>
              <w:spacing w:before="0" w:after="0" w:line="264" w:lineRule="auto"/>
            </w:pPr>
            <w:r>
              <w:rPr>
                <w:rFonts w:ascii="Arial" w:hAnsi="Arial" w:cs="Arial" w:eastAsia="Arial"/>
                <w:color w:val="0E1E3A"/>
                <w:sz w:val="17"/>
                <w:szCs w:val="17"/>
                <w:rtl/>
              </w:rPr>
              <w:t>6.85</w:t>
            </w:r>
          </w:p>
        </w:tc>
        <w:tc>
          <w:tcPr>
            <w:tcW w:type="dxa" w:w="1663"/>
          </w:tcPr>
          <w:p>
            <w:pPr>
              <w:bidi w:val="1"/>
              <w:spacing w:before="0" w:after="0" w:line="264" w:lineRule="auto"/>
            </w:pPr>
            <w:r>
              <w:rPr>
                <w:rFonts w:ascii="Arial" w:hAnsi="Arial" w:cs="Arial" w:eastAsia="Arial"/>
                <w:color w:val="0E1E3A"/>
                <w:sz w:val="17"/>
                <w:szCs w:val="17"/>
                <w:rtl/>
              </w:rPr>
              <w:t>9.86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0.77</w:t>
            </w:r>
          </w:p>
        </w:tc>
        <w:tc>
          <w:tcPr>
            <w:tcW w:type="dxa" w:w="1663"/>
          </w:tcPr>
          <w:p>
            <w:pPr>
              <w:bidi w:val="1"/>
              <w:spacing w:before="0" w:after="0" w:line="264" w:lineRule="auto"/>
            </w:pPr>
            <w:r>
              <w:rPr>
                <w:rFonts w:ascii="Arial" w:hAnsi="Arial" w:cs="Arial" w:eastAsia="Arial"/>
                <w:color w:val="0E1E3A"/>
                <w:sz w:val="17"/>
                <w:szCs w:val="17"/>
                <w:rtl/>
              </w:rPr>
              <w:t>0.67</w:t>
            </w:r>
          </w:p>
        </w:tc>
        <w:tc>
          <w:tcPr>
            <w:tcW w:type="dxa" w:w="1663"/>
          </w:tcPr>
          <w:p>
            <w:pPr>
              <w:bidi w:val="1"/>
              <w:spacing w:before="0" w:after="0" w:line="264" w:lineRule="auto"/>
            </w:pPr>
            <w:r>
              <w:rPr>
                <w:rFonts w:ascii="Arial" w:hAnsi="Arial" w:cs="Arial" w:eastAsia="Arial"/>
                <w:color w:val="0E1E3A"/>
                <w:sz w:val="17"/>
                <w:szCs w:val="17"/>
                <w:rtl/>
              </w:rPr>
              <w:t>0.69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4.63</w:t>
            </w:r>
          </w:p>
        </w:tc>
        <w:tc>
          <w:tcPr>
            <w:tcW w:type="dxa" w:w="1663"/>
          </w:tcPr>
          <w:p>
            <w:pPr>
              <w:bidi w:val="1"/>
              <w:spacing w:before="0" w:after="0" w:line="264" w:lineRule="auto"/>
            </w:pPr>
            <w:r>
              <w:rPr>
                <w:rFonts w:ascii="Arial" w:hAnsi="Arial" w:cs="Arial" w:eastAsia="Arial"/>
                <w:color w:val="0E1E3A"/>
                <w:sz w:val="17"/>
                <w:szCs w:val="17"/>
                <w:rtl/>
              </w:rPr>
              <w:t>5.41</w:t>
            </w:r>
          </w:p>
        </w:tc>
        <w:tc>
          <w:tcPr>
            <w:tcW w:type="dxa" w:w="1663"/>
          </w:tcPr>
          <w:p>
            <w:pPr>
              <w:bidi w:val="1"/>
              <w:spacing w:before="0" w:after="0" w:line="264" w:lineRule="auto"/>
            </w:pPr>
            <w:r>
              <w:rPr>
                <w:rFonts w:ascii="Arial" w:hAnsi="Arial" w:cs="Arial" w:eastAsia="Arial"/>
                <w:color w:val="0E1E3A"/>
                <w:sz w:val="17"/>
                <w:szCs w:val="17"/>
                <w:rtl/>
              </w:rPr>
              <w:t>4.36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1.88</w:t>
            </w:r>
          </w:p>
        </w:tc>
        <w:tc>
          <w:tcPr>
            <w:tcW w:type="dxa" w:w="1663"/>
          </w:tcPr>
          <w:p>
            <w:pPr>
              <w:bidi w:val="1"/>
              <w:spacing w:before="0" w:after="0" w:line="264" w:lineRule="auto"/>
            </w:pPr>
            <w:r>
              <w:rPr>
                <w:rFonts w:ascii="Arial" w:hAnsi="Arial" w:cs="Arial" w:eastAsia="Arial"/>
                <w:color w:val="0E1E3A"/>
                <w:sz w:val="17"/>
                <w:szCs w:val="17"/>
                <w:rtl/>
              </w:rPr>
              <w:t>0.79</w:t>
            </w:r>
          </w:p>
        </w:tc>
        <w:tc>
          <w:tcPr>
            <w:tcW w:type="dxa" w:w="1663"/>
          </w:tcPr>
          <w:p>
            <w:pPr>
              <w:bidi w:val="1"/>
              <w:spacing w:before="0" w:after="0" w:line="264" w:lineRule="auto"/>
            </w:pPr>
            <w:r>
              <w:rPr>
                <w:rFonts w:ascii="Arial" w:hAnsi="Arial" w:cs="Arial" w:eastAsia="Arial"/>
                <w:color w:val="0E1E3A"/>
                <w:sz w:val="17"/>
                <w:szCs w:val="17"/>
                <w:rtl/>
              </w:rPr>
              <w:t>0.44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7"/>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وافق مالكو الوحدات خلال اجتماع الجمعية العمومية المنعقد في 19 يوليو 2023م على توصية مدير الصندوق بإعادة شراء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مجموع الوحدات المتداولة بغرض إلغائها.</w:t>
      </w:r>
    </w:p>
    <w:p>
      <w:pPr>
        <w:bidi w:val="1"/>
        <w:spacing w:before="0" w:after="80" w:line="312" w:lineRule="auto"/>
      </w:pPr>
      <w:r>
        <w:rPr>
          <w:rFonts w:ascii="Arial" w:hAnsi="Arial" w:cs="Arial" w:eastAsia="Arial"/>
          <w:color w:val="0E1E3A"/>
          <w:sz w:val="20"/>
          <w:szCs w:val="20"/>
          <w:rtl/>
        </w:rPr>
        <w:t xml:space="preserve">كما في 28 سبتمبر 2023م، استطاع مدير الصندوق إعادة شراء ما مجموعه 24,371,111 وحدة، أو ما يعادل </w:t>
      </w:r>
      <w:r>
        <w:rPr>
          <w:rFonts w:ascii="Arial" w:hAnsi="Arial" w:cs="Arial" w:eastAsia="Arial"/>
          <w:color w:val="0E1E3A"/>
          <w:sz w:val="20"/>
          <w:szCs w:val="20"/>
        </w:rPr>
        <w:t>‎24.37%‎</w:t>
      </w:r>
      <w:r>
        <w:rPr>
          <w:rFonts w:ascii="Arial" w:hAnsi="Arial" w:cs="Arial" w:eastAsia="Arial"/>
          <w:color w:val="0E1E3A"/>
          <w:sz w:val="20"/>
          <w:szCs w:val="20"/>
          <w:rtl/>
        </w:rPr>
        <w:t xml:space="preserve"> من مجموع عدد وحدات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شهدت أسواق الأسهم العالمية أداء متقلبًا في الربع الثالث 2023م بعد تحقيقها مكاسبًا قوية في النصف الأول من السنة، لأسباب أهمها المخاوف من تباطؤ الاقتصاد العالمي، وأسعار الفائدة ، وارتفاع أسعار النفط، واستمرار ارتفاع معدل التضخم، والتعافي الهش لسلسلة الإمداد والتموين، وارتفاع سعر صرف الدولار الأمريكي. وكان الاحتياطي الفدرالي الأمريكي قد قرر في اجتماعه لشهر سبتمبر 2023م المحافظة على ثبات أسعار الفائدة والتمسك ّ بموقفه المتشدد، ما يؤكد بأنه لا يزال هناك الكثير من الجهود التي يجب بذلها لخفض معدل التضخم إلى مستوياته المنشودة.</w:t>
      </w:r>
    </w:p>
    <w:p>
      <w:pPr>
        <w:bidi w:val="1"/>
        <w:spacing w:before="0" w:after="80" w:line="312" w:lineRule="auto"/>
      </w:pPr>
      <w:r>
        <w:rPr>
          <w:rFonts w:ascii="Arial" w:hAnsi="Arial" w:cs="Arial" w:eastAsia="Arial"/>
          <w:color w:val="0E1E3A"/>
          <w:sz w:val="20"/>
          <w:szCs w:val="20"/>
          <w:rtl/>
        </w:rPr>
        <w:t xml:space="preserve">من الآن فصاعدا، سيكون استقرار نمو الأرباح وأسعار الفائدة والتضخم والإنفاق الاستهلاكي هو الشيء الرئيسي المحدد لزخم سوق الأسهم. وفقا لصندوق النقد الدولي ، من المتوقع أن ينمو الناتج المحلي الإجمالي العالمي بنسبة </w:t>
      </w:r>
      <w:r>
        <w:rPr>
          <w:rFonts w:ascii="Arial" w:hAnsi="Arial" w:cs="Arial" w:eastAsia="Arial"/>
          <w:color w:val="0E1E3A"/>
          <w:sz w:val="20"/>
          <w:szCs w:val="20"/>
        </w:rPr>
        <w:t>‎3%‎</w:t>
      </w:r>
      <w:r>
        <w:rPr>
          <w:rFonts w:ascii="Arial" w:hAnsi="Arial" w:cs="Arial" w:eastAsia="Arial"/>
          <w:color w:val="0E1E3A"/>
          <w:sz w:val="20"/>
          <w:szCs w:val="20"/>
          <w:rtl/>
        </w:rPr>
        <w:t xml:space="preserve"> في عامي 2023م و2024م، على الرغم من أن هذا النمو إيجابي ، إلا أنه ضعيف بالمعايير التاريخية ويعوقه تشديد سياسة الاقتصاد الكلي اللازمة لكبح جماح التضخم. من المتوقع أن يصل التضخم الرئيسي العالمي إلى </w:t>
      </w:r>
      <w:r>
        <w:rPr>
          <w:rFonts w:ascii="Arial" w:hAnsi="Arial" w:cs="Arial" w:eastAsia="Arial"/>
          <w:color w:val="0E1E3A"/>
          <w:sz w:val="20"/>
          <w:szCs w:val="20"/>
        </w:rPr>
        <w:t>‎6.8%‎</w:t>
      </w:r>
      <w:r>
        <w:rPr>
          <w:rFonts w:ascii="Arial" w:hAnsi="Arial" w:cs="Arial" w:eastAsia="Arial"/>
          <w:color w:val="0E1E3A"/>
          <w:sz w:val="20"/>
          <w:szCs w:val="20"/>
          <w:rtl/>
        </w:rPr>
        <w:t xml:space="preserve"> في عام 2023م و </w:t>
      </w:r>
      <w:r>
        <w:rPr>
          <w:rFonts w:ascii="Arial" w:hAnsi="Arial" w:cs="Arial" w:eastAsia="Arial"/>
          <w:color w:val="0E1E3A"/>
          <w:sz w:val="20"/>
          <w:szCs w:val="20"/>
        </w:rPr>
        <w:t>‎5.2%‎</w:t>
      </w:r>
      <w:r>
        <w:rPr>
          <w:rFonts w:ascii="Arial" w:hAnsi="Arial" w:cs="Arial" w:eastAsia="Arial"/>
          <w:color w:val="0E1E3A"/>
          <w:sz w:val="20"/>
          <w:szCs w:val="20"/>
          <w:rtl/>
        </w:rPr>
        <w:t xml:space="preserve"> في عام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0"/>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الثالث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