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33"/>
            <wp:cNvGraphicFramePr/>
            <a:graphic>
              <a:graphicData uri="http://schemas.openxmlformats.org/drawingml/2006/picture">
                <pic:pic>
                  <pic:nvPicPr>
                    <pic:cNvPr id="9033" name="banner9033.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 name="Picture 9034"/>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OVERVIEW</w:t>
      </w:r>
    </w:p>
    <w:p>
      <w:pPr>
        <w:spacing w:before="0" w:after="80" w:line="312" w:lineRule="auto"/>
      </w:pPr>
      <w:r>
        <w:rPr>
          <w:rFonts w:ascii="Arial" w:hAnsi="Arial" w:cs="Arial" w:eastAsia="Arial"/>
          <w:color w:val="0E1E3A"/>
          <w:sz w:val="20"/>
          <w:szCs w:val="20"/>
        </w:rPr>
        <w:t>Alkhabeer Growth and Income Traded Fund (“the Fund”) is a closed-ended Shari’a-compliant investment traded public equity fund established in accordance with the applicable laws and regulations of the Kingdom of Saudi Arabia and regulated by the Capital Market Authority (CMA). The Fund’s investment objective is to increase the Fund’s Net Asset Value by boosting the performance of the Fund’s investments in the long term and generating current income to investors from the dividend distributions of the companies in which the Fund invests, in addition to part of the capital appreciation resulting from the growth of market value of the securities invested in. This is achieved by investing in a diversified portfolio of global equities, public and private equities, initial public offerings of companies, private placements, cash, and cash equivalents.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3" name="Picture 903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KEY FUND FACTS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TADAWUL SYMBOL</w:t>
            </w:r>
          </w:p>
        </w:tc>
        <w:tc>
          <w:tcPr>
            <w:tcW w:type="dxa" w:w="6860"/>
          </w:tcPr>
          <w:p>
            <w:pPr>
              <w:spacing w:before="0" w:after="0" w:line="276" w:lineRule="auto"/>
            </w:pPr>
            <w:r>
              <w:rPr>
                <w:rFonts w:ascii="Arial" w:hAnsi="Arial" w:cs="Arial" w:eastAsia="Arial"/>
                <w:b/>
                <w:bCs/>
                <w:color w:val="0E1E3A"/>
                <w:sz w:val="18"/>
                <w:szCs w:val="18"/>
              </w:rPr>
              <w:t>4701</w:t>
            </w:r>
          </w:p>
        </w:tc>
      </w:tr>
      <w:tr>
        <w:tc>
          <w:tcPr>
            <w:tcW w:type="dxa" w:w="3118"/>
            <w:shd w:val="clear" w:color="auto" w:fill="F3F6FB"/>
          </w:tcPr>
          <w:p>
            <w:pPr>
              <w:spacing w:before="0" w:after="0" w:line="276" w:lineRule="auto"/>
            </w:pPr>
            <w:r>
              <w:rPr>
                <w:rFonts w:ascii="Arial" w:hAnsi="Arial" w:cs="Arial" w:eastAsia="Arial"/>
                <w:color w:val="5A6478"/>
                <w:sz w:val="18"/>
                <w:szCs w:val="18"/>
              </w:rPr>
              <w:t>BLOOMBERG SYMBOL</w:t>
            </w:r>
          </w:p>
        </w:tc>
        <w:tc>
          <w:tcPr>
            <w:tcW w:type="dxa" w:w="6860"/>
          </w:tcPr>
          <w:p>
            <w:pPr>
              <w:spacing w:before="0" w:after="0" w:line="276" w:lineRule="auto"/>
            </w:pPr>
            <w:r>
              <w:rPr>
                <w:rFonts w:ascii="Arial" w:hAnsi="Arial" w:cs="Arial" w:eastAsia="Arial"/>
                <w:b/>
                <w:bCs/>
                <w:color w:val="0E1E3A"/>
                <w:sz w:val="18"/>
                <w:szCs w:val="18"/>
              </w:rPr>
              <w:t>AKGRINF AB EQUITY</w:t>
            </w:r>
          </w:p>
        </w:tc>
      </w:tr>
      <w:tr>
        <w:tc>
          <w:tcPr>
            <w:tcW w:type="dxa" w:w="3118"/>
            <w:shd w:val="clear" w:color="auto" w:fill="F3F6FB"/>
          </w:tcPr>
          <w:p>
            <w:pPr>
              <w:spacing w:before="0" w:after="0" w:line="276" w:lineRule="auto"/>
            </w:pPr>
            <w:r>
              <w:rPr>
                <w:rFonts w:ascii="Arial" w:hAnsi="Arial" w:cs="Arial" w:eastAsia="Arial"/>
                <w:color w:val="5A6478"/>
                <w:sz w:val="18"/>
                <w:szCs w:val="18"/>
              </w:rPr>
              <w:t>FUND TYPE</w:t>
            </w:r>
          </w:p>
        </w:tc>
        <w:tc>
          <w:tcPr>
            <w:tcW w:type="dxa" w:w="6860"/>
          </w:tcPr>
          <w:p>
            <w:pPr>
              <w:spacing w:before="0" w:after="0" w:line="276" w:lineRule="auto"/>
            </w:pPr>
            <w:r>
              <w:rPr>
                <w:rFonts w:ascii="Arial" w:hAnsi="Arial" w:cs="Arial" w:eastAsia="Arial"/>
                <w:b/>
                <w:bCs/>
                <w:color w:val="0E1E3A"/>
                <w:sz w:val="18"/>
                <w:szCs w:val="18"/>
              </w:rPr>
              <w:t>Closed-ended Traded Public Equity Fund</w:t>
            </w:r>
          </w:p>
        </w:tc>
      </w:tr>
      <w:tr>
        <w:tc>
          <w:tcPr>
            <w:tcW w:type="dxa" w:w="3118"/>
            <w:shd w:val="clear" w:color="auto" w:fill="F3F6FB"/>
          </w:tcPr>
          <w:p>
            <w:pPr>
              <w:spacing w:before="0" w:after="0" w:line="276" w:lineRule="auto"/>
            </w:pPr>
            <w:r>
              <w:rPr>
                <w:rFonts w:ascii="Arial" w:hAnsi="Arial" w:cs="Arial" w:eastAsia="Arial"/>
                <w:color w:val="5A6478"/>
                <w:sz w:val="18"/>
                <w:szCs w:val="18"/>
              </w:rPr>
              <w:t>FUND INCEPTION DATE</w:t>
            </w:r>
          </w:p>
        </w:tc>
        <w:tc>
          <w:tcPr>
            <w:tcW w:type="dxa" w:w="6860"/>
          </w:tcPr>
          <w:p>
            <w:pPr>
              <w:spacing w:before="0" w:after="0" w:line="276" w:lineRule="auto"/>
            </w:pPr>
            <w:r>
              <w:rPr>
                <w:rFonts w:ascii="Arial" w:hAnsi="Arial" w:cs="Arial" w:eastAsia="Arial"/>
                <w:b/>
                <w:bCs/>
                <w:color w:val="0E1E3A"/>
                <w:sz w:val="18"/>
                <w:szCs w:val="18"/>
              </w:rPr>
              <w:t>27 April 2022</w:t>
            </w:r>
          </w:p>
        </w:tc>
      </w:tr>
      <w:tr>
        <w:tc>
          <w:tcPr>
            <w:tcW w:type="dxa" w:w="3118"/>
            <w:shd w:val="clear" w:color="auto" w:fill="F3F6FB"/>
          </w:tcPr>
          <w:p>
            <w:pPr>
              <w:spacing w:before="0" w:after="0" w:line="276" w:lineRule="auto"/>
            </w:pPr>
            <w:r>
              <w:rPr>
                <w:rFonts w:ascii="Arial" w:hAnsi="Arial" w:cs="Arial" w:eastAsia="Arial"/>
                <w:color w:val="5A6478"/>
                <w:sz w:val="18"/>
                <w:szCs w:val="18"/>
              </w:rPr>
              <w:t>FUND TERM</w:t>
            </w:r>
          </w:p>
        </w:tc>
        <w:tc>
          <w:tcPr>
            <w:tcW w:type="dxa" w:w="6860"/>
          </w:tcPr>
          <w:p>
            <w:pPr>
              <w:spacing w:before="0" w:after="0" w:line="276" w:lineRule="auto"/>
            </w:pPr>
            <w:r>
              <w:rPr>
                <w:rFonts w:ascii="Arial" w:hAnsi="Arial" w:cs="Arial" w:eastAsia="Arial"/>
                <w:b/>
                <w:bCs/>
                <w:color w:val="0E1E3A"/>
                <w:sz w:val="18"/>
                <w:szCs w:val="18"/>
              </w:rPr>
              <w:t>99 years, starting as from the Listing Date, renewable</w:t>
            </w:r>
          </w:p>
        </w:tc>
      </w:tr>
      <w:tr>
        <w:tc>
          <w:tcPr>
            <w:tcW w:type="dxa" w:w="3118"/>
            <w:shd w:val="clear" w:color="auto" w:fill="F3F6FB"/>
          </w:tcPr>
          <w:p>
            <w:pPr>
              <w:spacing w:before="0" w:after="0" w:line="276" w:lineRule="auto"/>
            </w:pPr>
            <w:r>
              <w:rPr>
                <w:rFonts w:ascii="Arial" w:hAnsi="Arial" w:cs="Arial" w:eastAsia="Arial"/>
                <w:color w:val="5A6478"/>
                <w:sz w:val="18"/>
                <w:szCs w:val="18"/>
              </w:rPr>
              <w:t>NET ASSET VALUE PER UNIT</w:t>
            </w:r>
          </w:p>
        </w:tc>
        <w:tc>
          <w:tcPr>
            <w:tcW w:type="dxa" w:w="6860"/>
          </w:tcPr>
          <w:p>
            <w:pPr>
              <w:spacing w:before="0" w:after="0" w:line="276" w:lineRule="auto"/>
            </w:pPr>
            <w:r>
              <w:rPr>
                <w:rFonts w:ascii="Arial" w:hAnsi="Arial" w:cs="Arial" w:eastAsia="Arial"/>
                <w:b/>
                <w:bCs/>
                <w:color w:val="0E1E3A"/>
                <w:sz w:val="18"/>
                <w:szCs w:val="18"/>
              </w:rPr>
              <w:t>SAR 10.2411</w:t>
            </w:r>
          </w:p>
        </w:tc>
      </w:tr>
      <w:tr>
        <w:tc>
          <w:tcPr>
            <w:tcW w:type="dxa" w:w="3118"/>
            <w:shd w:val="clear" w:color="auto" w:fill="F3F6FB"/>
          </w:tcPr>
          <w:p>
            <w:pPr>
              <w:spacing w:before="0" w:after="0" w:line="276" w:lineRule="auto"/>
            </w:pPr>
            <w:r>
              <w:rPr>
                <w:rFonts w:ascii="Arial" w:hAnsi="Arial" w:cs="Arial" w:eastAsia="Arial"/>
                <w:color w:val="5A6478"/>
                <w:sz w:val="18"/>
                <w:szCs w:val="18"/>
              </w:rPr>
              <w:t>FUND ASSETS SIZE*</w:t>
            </w:r>
          </w:p>
        </w:tc>
        <w:tc>
          <w:tcPr>
            <w:tcW w:type="dxa" w:w="6860"/>
          </w:tcPr>
          <w:p>
            <w:pPr>
              <w:spacing w:before="0" w:after="0" w:line="276" w:lineRule="auto"/>
            </w:pPr>
            <w:r>
              <w:rPr>
                <w:rFonts w:ascii="Arial" w:hAnsi="Arial" w:cs="Arial" w:eastAsia="Arial"/>
                <w:b/>
                <w:bCs/>
                <w:color w:val="0E1E3A"/>
                <w:sz w:val="18"/>
                <w:szCs w:val="18"/>
              </w:rPr>
              <w:t>SAR 776,723,989</w:t>
            </w:r>
          </w:p>
        </w:tc>
      </w:tr>
      <w:tr>
        <w:tc>
          <w:tcPr>
            <w:tcW w:type="dxa" w:w="3118"/>
            <w:shd w:val="clear" w:color="auto" w:fill="F3F6FB"/>
          </w:tcPr>
          <w:p>
            <w:pPr>
              <w:spacing w:before="0" w:after="0" w:line="276" w:lineRule="auto"/>
            </w:pPr>
            <w:r>
              <w:rPr>
                <w:rFonts w:ascii="Arial" w:hAnsi="Arial" w:cs="Arial" w:eastAsia="Arial"/>
                <w:color w:val="5A6478"/>
                <w:sz w:val="18"/>
                <w:szCs w:val="18"/>
              </w:rPr>
              <w:t>FUND SIZE AT INCEPTION**</w:t>
            </w:r>
          </w:p>
        </w:tc>
        <w:tc>
          <w:tcPr>
            <w:tcW w:type="dxa" w:w="6860"/>
          </w:tcPr>
          <w:p>
            <w:pPr>
              <w:spacing w:before="0" w:after="0" w:line="276" w:lineRule="auto"/>
            </w:pPr>
            <w:r>
              <w:rPr>
                <w:rFonts w:ascii="Arial" w:hAnsi="Arial" w:cs="Arial" w:eastAsia="Arial"/>
                <w:b/>
                <w:bCs/>
                <w:color w:val="0E1E3A"/>
                <w:sz w:val="18"/>
                <w:szCs w:val="18"/>
              </w:rPr>
              <w:t>SAR 1 BILLION</w:t>
            </w:r>
          </w:p>
        </w:tc>
      </w:tr>
      <w:tr>
        <w:tc>
          <w:tcPr>
            <w:tcW w:type="dxa" w:w="3118"/>
            <w:shd w:val="clear" w:color="auto" w:fill="F3F6FB"/>
          </w:tcPr>
          <w:p>
            <w:pPr>
              <w:spacing w:before="0" w:after="0" w:line="276" w:lineRule="auto"/>
            </w:pPr>
            <w:r>
              <w:rPr>
                <w:rFonts w:ascii="Arial" w:hAnsi="Arial" w:cs="Arial" w:eastAsia="Arial"/>
                <w:color w:val="5A6478"/>
                <w:sz w:val="18"/>
                <w:szCs w:val="18"/>
              </w:rPr>
              <w:t>BORROWING AMOUNT*</w:t>
            </w:r>
          </w:p>
        </w:tc>
        <w:tc>
          <w:tcPr>
            <w:tcW w:type="dxa" w:w="6860"/>
          </w:tcPr>
          <w:p>
            <w:pPr>
              <w:spacing w:before="0" w:after="0" w:line="276" w:lineRule="auto"/>
            </w:pPr>
            <w:r>
              <w:rPr>
                <w:rFonts w:ascii="Arial" w:hAnsi="Arial" w:cs="Arial" w:eastAsia="Arial"/>
                <w:b/>
                <w:bCs/>
                <w:color w:val="0E1E3A"/>
                <w:sz w:val="18"/>
                <w:szCs w:val="18"/>
              </w:rPr>
              <w:t>SAR 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TOTAL ASSET VALUE</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VALUE OF FUND MANAGER’S INVESTMENT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PERCENTAGE OF FUND MANAGER’S INVESTMENT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RISK LEVEL</w:t>
            </w:r>
          </w:p>
        </w:tc>
        <w:tc>
          <w:tcPr>
            <w:tcW w:type="dxa" w:w="6860"/>
          </w:tcPr>
          <w:p>
            <w:pPr>
              <w:spacing w:before="0" w:after="0" w:line="276" w:lineRule="auto"/>
            </w:pPr>
            <w:r>
              <w:rPr>
                <w:rFonts w:ascii="Arial" w:hAnsi="Arial" w:cs="Arial" w:eastAsia="Arial"/>
                <w:b/>
                <w:bCs/>
                <w:color w:val="0E1E3A"/>
                <w:sz w:val="18"/>
                <w:szCs w:val="18"/>
              </w:rPr>
              <w:t>High</w:t>
            </w:r>
          </w:p>
        </w:tc>
      </w:tr>
      <w:tr>
        <w:tc>
          <w:tcPr>
            <w:tcW w:type="dxa" w:w="3118"/>
            <w:shd w:val="clear" w:color="auto" w:fill="F3F6FB"/>
          </w:tcPr>
          <w:p>
            <w:pPr>
              <w:spacing w:before="0" w:after="0" w:line="276" w:lineRule="auto"/>
            </w:pPr>
            <w:r>
              <w:rPr>
                <w:rFonts w:ascii="Arial" w:hAnsi="Arial" w:cs="Arial" w:eastAsia="Arial"/>
                <w:color w:val="5A6478"/>
                <w:sz w:val="18"/>
                <w:szCs w:val="18"/>
              </w:rPr>
              <w:t>FUND CURRENCY</w:t>
            </w:r>
          </w:p>
        </w:tc>
        <w:tc>
          <w:tcPr>
            <w:tcW w:type="dxa" w:w="6860"/>
          </w:tcPr>
          <w:p>
            <w:pPr>
              <w:spacing w:before="0" w:after="0" w:line="276" w:lineRule="auto"/>
            </w:pPr>
            <w:r>
              <w:rPr>
                <w:rFonts w:ascii="Arial" w:hAnsi="Arial" w:cs="Arial" w:eastAsia="Arial"/>
                <w:b/>
                <w:bCs/>
                <w:color w:val="0E1E3A"/>
                <w:sz w:val="18"/>
                <w:szCs w:val="18"/>
              </w:rPr>
              <w:t>Saudi Arabian Riyal (SAR)</w:t>
            </w:r>
          </w:p>
        </w:tc>
      </w:tr>
      <w:tr>
        <w:tc>
          <w:tcPr>
            <w:tcW w:type="dxa" w:w="3118"/>
            <w:shd w:val="clear" w:color="auto" w:fill="F3F6FB"/>
          </w:tcPr>
          <w:p>
            <w:pPr>
              <w:spacing w:before="0" w:after="0" w:line="276" w:lineRule="auto"/>
            </w:pPr>
            <w:r>
              <w:rPr>
                <w:rFonts w:ascii="Arial" w:hAnsi="Arial" w:cs="Arial" w:eastAsia="Arial"/>
                <w:color w:val="5A6478"/>
                <w:sz w:val="18"/>
                <w:szCs w:val="18"/>
              </w:rPr>
              <w:t>INVESTMENT ADVISOR AND FUND SUB-MANAGER</w:t>
            </w:r>
          </w:p>
        </w:tc>
        <w:tc>
          <w:tcPr>
            <w:tcW w:type="dxa" w:w="6860"/>
          </w:tcPr>
          <w:p>
            <w:pPr>
              <w:spacing w:before="0" w:after="0" w:line="276" w:lineRule="auto"/>
            </w:pPr>
            <w:r>
              <w:rPr>
                <w:rFonts w:ascii="Arial" w:hAnsi="Arial" w:cs="Arial" w:eastAsia="Arial"/>
                <w:b/>
                <w:bCs/>
                <w:color w:val="0E1E3A"/>
                <w:sz w:val="18"/>
                <w:szCs w:val="18"/>
              </w:rPr>
              <w:t>-</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UNDERLYING FUNDS’ MANAGEMENT FEES</w:t>
            </w:r>
          </w:p>
        </w:tc>
        <w:tc>
          <w:tcPr>
            <w:tcW w:type="dxa" w:w="6860"/>
          </w:tcPr>
          <w:p>
            <w:pPr>
              <w:spacing w:before="0" w:after="0" w:line="276" w:lineRule="auto"/>
            </w:pPr>
            <w:r>
              <w:rPr>
                <w:rFonts w:ascii="Arial" w:hAnsi="Arial" w:cs="Arial" w:eastAsia="Arial"/>
                <w:b/>
                <w:bCs/>
                <w:color w:val="0E1E3A"/>
                <w:sz w:val="18"/>
                <w:szCs w:val="18"/>
              </w:rPr>
              <w:t>0.03%</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DAYS WEIGHTED AVERAGE</w:t>
            </w:r>
          </w:p>
        </w:tc>
        <w:tc>
          <w:tcPr>
            <w:tcW w:type="dxa" w:w="6860"/>
          </w:tcPr>
          <w:p>
            <w:pPr>
              <w:spacing w:before="0" w:after="0" w:line="276" w:lineRule="auto"/>
            </w:pPr>
            <w:r>
              <w:rPr>
                <w:rFonts w:ascii="Arial" w:hAnsi="Arial" w:cs="Arial" w:eastAsia="Arial"/>
                <w:b/>
                <w:bCs/>
                <w:color w:val="0E1E3A"/>
                <w:sz w:val="18"/>
                <w:szCs w:val="18"/>
              </w:rPr>
              <w:t>92 Days</w:t>
            </w:r>
          </w:p>
        </w:tc>
      </w:tr>
    </w:tbl>
    <w:p>
      <w:pPr>
        <w:spacing w:before="0" w:after="40" w:line="300" w:lineRule="auto"/>
      </w:pPr>
    </w:p>
    <w:p>
      <w:pPr>
        <w:spacing w:before="0" w:after="80" w:line="312" w:lineRule="auto"/>
      </w:pPr>
      <w:r>
        <w:rPr>
          <w:rFonts w:ascii="Arial" w:hAnsi="Arial" w:cs="Arial" w:eastAsia="Arial"/>
          <w:color w:val="5A6478"/>
          <w:sz w:val="17"/>
          <w:szCs w:val="17"/>
        </w:rPr>
        <w:t>* As of 30 September 2023 (Unaudited).</w:t>
      </w:r>
      <w:r>
        <w:br/>
      </w:r>
      <w:r>
        <w:rPr>
          <w:rFonts w:ascii="Arial" w:hAnsi="Arial" w:cs="Arial" w:eastAsia="Arial"/>
          <w:color w:val="5A6478"/>
          <w:sz w:val="17"/>
          <w:szCs w:val="17"/>
        </w:rPr>
        <w:t>** The Fund's Capital includes a sum of SAR 243,711,110 representing the value of the Units bought back by the Fund for cancellation.</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4" name="Picture 903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PORTFOLIO INVESTMENT CONCENTRATION RATIOS</w:t>
      </w:r>
    </w:p>
    <w:p>
      <w:pPr>
        <w:spacing w:before="0" w:after="80" w:line="240" w:lineRule="auto"/>
        <w:jc w:val="center"/>
      </w:pPr>
      <w:r>
        <w:drawing>
          <wp:inline xmlns:a="http://schemas.openxmlformats.org/drawingml/2006/main" xmlns:pic="http://schemas.openxmlformats.org/drawingml/2006/picture">
            <wp:extent cx="6336000" cy="1836108"/>
            <wp:docPr id="5" name="Picture 9037"/>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83610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6" name="Picture 903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FINANCIAL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VALUATION FREQUENCY</w:t>
            </w:r>
          </w:p>
        </w:tc>
        <w:tc>
          <w:tcPr>
            <w:tcW w:type="dxa" w:w="6860"/>
          </w:tcPr>
          <w:p>
            <w:pPr>
              <w:spacing w:before="0" w:after="0" w:line="276" w:lineRule="auto"/>
            </w:pPr>
            <w:r>
              <w:rPr>
                <w:rFonts w:ascii="Arial" w:hAnsi="Arial" w:cs="Arial" w:eastAsia="Arial"/>
                <w:b/>
                <w:bCs/>
                <w:color w:val="0E1E3A"/>
                <w:sz w:val="18"/>
                <w:szCs w:val="18"/>
              </w:rPr>
              <w:t>Daily</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ASSET VALUE*</w:t>
            </w:r>
          </w:p>
        </w:tc>
        <w:tc>
          <w:tcPr>
            <w:tcW w:type="dxa" w:w="6860"/>
          </w:tcPr>
          <w:p>
            <w:pPr>
              <w:spacing w:before="0" w:after="0" w:line="276" w:lineRule="auto"/>
            </w:pPr>
            <w:r>
              <w:rPr>
                <w:rFonts w:ascii="Arial" w:hAnsi="Arial" w:cs="Arial" w:eastAsia="Arial"/>
                <w:b/>
                <w:bCs/>
                <w:color w:val="0E1E3A"/>
                <w:sz w:val="18"/>
                <w:szCs w:val="18"/>
              </w:rPr>
              <w:t>SAR 776,723,989</w:t>
            </w:r>
          </w:p>
        </w:tc>
      </w:tr>
      <w:tr>
        <w:tc>
          <w:tcPr>
            <w:tcW w:type="dxa" w:w="3118"/>
            <w:shd w:val="clear" w:color="auto" w:fill="F3F6FB"/>
          </w:tcPr>
          <w:p>
            <w:pPr>
              <w:spacing w:before="0" w:after="0" w:line="276" w:lineRule="auto"/>
            </w:pPr>
            <w:r>
              <w:rPr>
                <w:rFonts w:ascii="Arial" w:hAnsi="Arial" w:cs="Arial" w:eastAsia="Arial"/>
                <w:color w:val="5A6478"/>
                <w:sz w:val="18"/>
                <w:szCs w:val="18"/>
              </w:rPr>
              <w:t>FUND NET ASSET VALUE*</w:t>
            </w:r>
          </w:p>
        </w:tc>
        <w:tc>
          <w:tcPr>
            <w:tcW w:type="dxa" w:w="6860"/>
          </w:tcPr>
          <w:p>
            <w:pPr>
              <w:spacing w:before="0" w:after="0" w:line="276" w:lineRule="auto"/>
            </w:pPr>
            <w:r>
              <w:rPr>
                <w:rFonts w:ascii="Arial" w:hAnsi="Arial" w:cs="Arial" w:eastAsia="Arial"/>
                <w:b/>
                <w:bCs/>
                <w:color w:val="0E1E3A"/>
                <w:sz w:val="18"/>
                <w:szCs w:val="18"/>
              </w:rPr>
              <w:t>SAR 774,522,941</w:t>
            </w:r>
          </w:p>
        </w:tc>
      </w:tr>
      <w:tr>
        <w:tc>
          <w:tcPr>
            <w:tcW w:type="dxa" w:w="3118"/>
            <w:shd w:val="clear" w:color="auto" w:fill="F3F6FB"/>
          </w:tcPr>
          <w:p>
            <w:pPr>
              <w:spacing w:before="0" w:after="0" w:line="276" w:lineRule="auto"/>
            </w:pPr>
            <w:r>
              <w:rPr>
                <w:rFonts w:ascii="Arial" w:hAnsi="Arial" w:cs="Arial" w:eastAsia="Arial"/>
                <w:color w:val="5A6478"/>
                <w:sz w:val="18"/>
                <w:szCs w:val="18"/>
              </w:rPr>
              <w:t>AMOUNT OF TRANSACTION EXPENSES FOR THE REPORTING QUARTER</w:t>
            </w:r>
          </w:p>
        </w:tc>
        <w:tc>
          <w:tcPr>
            <w:tcW w:type="dxa" w:w="6860"/>
          </w:tcPr>
          <w:p>
            <w:pPr>
              <w:spacing w:before="0" w:after="0" w:line="276" w:lineRule="auto"/>
            </w:pPr>
            <w:r>
              <w:rPr>
                <w:rFonts w:ascii="Arial" w:hAnsi="Arial" w:cs="Arial" w:eastAsia="Arial"/>
                <w:b/>
                <w:bCs/>
                <w:color w:val="0E1E3A"/>
                <w:sz w:val="18"/>
                <w:szCs w:val="18"/>
              </w:rPr>
              <w:t>SAR 453,800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TRANSACTION EXPENSES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0.047%</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TOTAL EXPENSES AND FEES TO FUND’S TOTAL ASSET VALUE**</w:t>
            </w:r>
          </w:p>
        </w:tc>
        <w:tc>
          <w:tcPr>
            <w:tcW w:type="dxa" w:w="6860"/>
          </w:tcPr>
          <w:p>
            <w:pPr>
              <w:spacing w:before="0" w:after="0" w:line="276" w:lineRule="auto"/>
            </w:pPr>
            <w:r>
              <w:rPr>
                <w:rFonts w:ascii="Arial" w:hAnsi="Arial" w:cs="Arial" w:eastAsia="Arial"/>
                <w:b/>
                <w:bCs/>
                <w:color w:val="0E1E3A"/>
                <w:sz w:val="18"/>
                <w:szCs w:val="18"/>
              </w:rPr>
              <w:t>0.31%</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COSTS TO FUND'S TOTAL ASSET VALUE***</w:t>
            </w:r>
          </w:p>
        </w:tc>
        <w:tc>
          <w:tcPr>
            <w:tcW w:type="dxa" w:w="6860"/>
          </w:tcPr>
          <w:p>
            <w:pPr>
              <w:spacing w:before="0" w:after="0" w:line="276" w:lineRule="auto"/>
            </w:pPr>
            <w:r>
              <w:rPr>
                <w:rFonts w:ascii="Arial" w:hAnsi="Arial" w:cs="Arial" w:eastAsia="Arial"/>
                <w:b/>
                <w:bCs/>
                <w:color w:val="0E1E3A"/>
                <w:sz w:val="18"/>
                <w:szCs w:val="18"/>
              </w:rPr>
              <w:t>0.31%</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COSTS TO FUND’S AVERAGE NET ASSET VALUE</w:t>
            </w:r>
          </w:p>
        </w:tc>
        <w:tc>
          <w:tcPr>
            <w:tcW w:type="dxa" w:w="6860"/>
          </w:tcPr>
          <w:p>
            <w:pPr>
              <w:spacing w:before="0" w:after="0" w:line="276" w:lineRule="auto"/>
            </w:pPr>
            <w:r>
              <w:rPr>
                <w:rFonts w:ascii="Arial" w:hAnsi="Arial" w:cs="Arial" w:eastAsia="Arial"/>
                <w:b/>
                <w:bCs/>
                <w:color w:val="0E1E3A"/>
                <w:sz w:val="18"/>
                <w:szCs w:val="18"/>
              </w:rPr>
              <w:t>0.25%</w:t>
            </w:r>
          </w:p>
        </w:tc>
      </w:tr>
      <w:tr>
        <w:tc>
          <w:tcPr>
            <w:tcW w:type="dxa" w:w="3118"/>
            <w:shd w:val="clear" w:color="auto" w:fill="F3F6FB"/>
          </w:tcPr>
          <w:p>
            <w:pPr>
              <w:spacing w:before="0" w:after="0" w:line="276" w:lineRule="auto"/>
            </w:pPr>
            <w:r>
              <w:rPr>
                <w:rFonts w:ascii="Arial" w:hAnsi="Arial" w:cs="Arial" w:eastAsia="Arial"/>
                <w:color w:val="5A6478"/>
                <w:sz w:val="18"/>
                <w:szCs w:val="18"/>
              </w:rPr>
              <w:t>TOTAL EXPENSES AND FEES FOR THE REPORTING QUARTER</w:t>
            </w:r>
          </w:p>
        </w:tc>
        <w:tc>
          <w:tcPr>
            <w:tcW w:type="dxa" w:w="6860"/>
          </w:tcPr>
          <w:p>
            <w:pPr>
              <w:spacing w:before="0" w:after="0" w:line="276" w:lineRule="auto"/>
            </w:pPr>
            <w:r>
              <w:rPr>
                <w:rFonts w:ascii="Arial" w:hAnsi="Arial" w:cs="Arial" w:eastAsia="Arial"/>
                <w:b/>
                <w:bCs/>
                <w:color w:val="0E1E3A"/>
                <w:sz w:val="18"/>
                <w:szCs w:val="18"/>
              </w:rPr>
              <w:t>SAR 2,407,933</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TOTAL EXPENSES AND FEES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0.25%</w:t>
            </w:r>
          </w:p>
        </w:tc>
      </w:tr>
    </w:tbl>
    <w:p>
      <w:pPr>
        <w:spacing w:before="0" w:after="40" w:line="300" w:lineRule="auto"/>
      </w:pPr>
    </w:p>
    <w:p>
      <w:pPr>
        <w:spacing w:before="0" w:after="80" w:line="312" w:lineRule="auto"/>
      </w:pPr>
      <w:r>
        <w:rPr>
          <w:rFonts w:ascii="Arial" w:hAnsi="Arial" w:cs="Arial" w:eastAsia="Arial"/>
          <w:color w:val="5A6478"/>
          <w:sz w:val="17"/>
          <w:szCs w:val="17"/>
        </w:rPr>
        <w:t>* As of 30 September 2023 (Unaudited).</w:t>
      </w:r>
      <w:r>
        <w:br/>
      </w:r>
      <w:r>
        <w:rPr>
          <w:rFonts w:ascii="Arial" w:hAnsi="Arial" w:cs="Arial" w:eastAsia="Arial"/>
          <w:color w:val="5A6478"/>
          <w:sz w:val="17"/>
          <w:szCs w:val="17"/>
        </w:rPr>
        <w:t>** Fund's expenses and fees are total Fund expenses during the reporting quarter, excluding financing costs.</w:t>
      </w:r>
      <w:r>
        <w:br/>
      </w:r>
      <w:r>
        <w:rPr>
          <w:rFonts w:ascii="Arial" w:hAnsi="Arial" w:cs="Arial" w:eastAsia="Arial"/>
          <w:color w:val="5A6478"/>
          <w:sz w:val="17"/>
          <w:szCs w:val="17"/>
        </w:rPr>
        <w:t>*** Fund's costs are all Fund's fees and expenses, including financing costs.</w:t>
      </w:r>
      <w:r>
        <w:br/>
      </w:r>
      <w:r>
        <w:rPr>
          <w:rFonts w:ascii="Arial" w:hAnsi="Arial" w:cs="Arial" w:eastAsia="Arial"/>
          <w:color w:val="5A6478"/>
          <w:sz w:val="17"/>
          <w:szCs w:val="17"/>
        </w:rPr>
        <w:t>**** Fund's average net asset value during the reporting quarter = SAR 968,915,573.</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7" name="Picture 903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DISTRIBUTION OF INVESTMENTS BY GEOGRAPHY</w:t>
      </w:r>
    </w:p>
    <w:p>
      <w:pPr>
        <w:spacing w:before="0" w:after="80" w:line="240" w:lineRule="auto"/>
        <w:jc w:val="center"/>
      </w:pPr>
      <w:r>
        <w:drawing>
          <wp:inline xmlns:a="http://schemas.openxmlformats.org/drawingml/2006/main" xmlns:pic="http://schemas.openxmlformats.org/drawingml/2006/picture">
            <wp:extent cx="6336000" cy="1836108"/>
            <wp:docPr id="8" name="Picture 9040"/>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83610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9" name="Picture 904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TOP 10 LISTED GLOBAL AND LOCAL EQUITIES COMPANIES</w:t>
      </w:r>
    </w:p>
    <w:p>
      <w:pPr>
        <w:spacing w:before="0" w:after="80" w:line="240" w:lineRule="auto"/>
        <w:jc w:val="center"/>
      </w:pPr>
      <w:r>
        <w:drawing>
          <wp:inline xmlns:a="http://schemas.openxmlformats.org/drawingml/2006/main" xmlns:pic="http://schemas.openxmlformats.org/drawingml/2006/picture">
            <wp:extent cx="6336000" cy="2654270"/>
            <wp:docPr id="10" name="Picture 9042"/>
            <wp:cNvGraphicFramePr>
              <a:graphicFrameLocks noChangeAspect="1"/>
            </wp:cNvGraphicFramePr>
            <a:graphic>
              <a:graphicData uri="http://schemas.openxmlformats.org/drawingml/2006/picture">
                <pic:pic>
                  <pic:nvPicPr>
                    <pic:cNvPr id="0" name="x4.j.jpg"/>
                    <pic:cNvPicPr/>
                  </pic:nvPicPr>
                  <pic:blipFill>
                    <a:blip r:embed="rId18"/>
                    <a:stretch>
                      <a:fillRect/>
                    </a:stretch>
                  </pic:blipFill>
                  <pic:spPr>
                    <a:xfrm>
                      <a:off x="0" y="0"/>
                      <a:ext cx="6336000" cy="2654270"/>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1" name="Picture 904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TOP SECTORS OF FUND’S UNDERLYING INVESTEE COMPANIES</w:t>
      </w:r>
    </w:p>
    <w:p>
      <w:pPr>
        <w:spacing w:before="0" w:after="80" w:line="240" w:lineRule="auto"/>
        <w:jc w:val="center"/>
      </w:pPr>
      <w:r>
        <w:drawing>
          <wp:inline xmlns:a="http://schemas.openxmlformats.org/drawingml/2006/main" xmlns:pic="http://schemas.openxmlformats.org/drawingml/2006/picture">
            <wp:extent cx="6336000" cy="3110919"/>
            <wp:docPr id="12" name="Picture 9044"/>
            <wp:cNvGraphicFramePr>
              <a:graphicFrameLocks noChangeAspect="1"/>
            </wp:cNvGraphicFramePr>
            <a:graphic>
              <a:graphicData uri="http://schemas.openxmlformats.org/drawingml/2006/picture">
                <pic:pic>
                  <pic:nvPicPr>
                    <pic:cNvPr id="0" name="x5.j.jpg"/>
                    <pic:cNvPicPr/>
                  </pic:nvPicPr>
                  <pic:blipFill>
                    <a:blip r:embed="rId19"/>
                    <a:stretch>
                      <a:fillRect/>
                    </a:stretch>
                  </pic:blipFill>
                  <pic:spPr>
                    <a:xfrm>
                      <a:off x="0" y="0"/>
                      <a:ext cx="6336000" cy="3110919"/>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3" name="Picture 904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ASSETS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LISTED SHARES</w:t>
            </w:r>
          </w:p>
        </w:tc>
        <w:tc>
          <w:tcPr>
            <w:tcW w:type="dxa" w:w="6860"/>
          </w:tcPr>
          <w:p>
            <w:pPr>
              <w:spacing w:before="0" w:after="0" w:line="276" w:lineRule="auto"/>
            </w:pPr>
            <w:r>
              <w:rPr>
                <w:rFonts w:ascii="Arial" w:hAnsi="Arial" w:cs="Arial" w:eastAsia="Arial"/>
                <w:b/>
                <w:bCs/>
                <w:color w:val="0E1E3A"/>
                <w:sz w:val="18"/>
                <w:szCs w:val="18"/>
              </w:rPr>
              <w:t>SAR 682,042,888</w:t>
            </w:r>
          </w:p>
        </w:tc>
      </w:tr>
      <w:tr>
        <w:tc>
          <w:tcPr>
            <w:tcW w:type="dxa" w:w="3118"/>
            <w:shd w:val="clear" w:color="auto" w:fill="F3F6FB"/>
          </w:tcPr>
          <w:p>
            <w:pPr>
              <w:spacing w:before="0" w:after="0" w:line="276" w:lineRule="auto"/>
            </w:pPr>
            <w:r>
              <w:rPr>
                <w:rFonts w:ascii="Arial" w:hAnsi="Arial" w:cs="Arial" w:eastAsia="Arial"/>
                <w:color w:val="5A6478"/>
                <w:sz w:val="18"/>
                <w:szCs w:val="18"/>
              </w:rPr>
              <w:t>TOTAL CASH AND CASH EQUIVALENT</w:t>
            </w:r>
          </w:p>
        </w:tc>
        <w:tc>
          <w:tcPr>
            <w:tcW w:type="dxa" w:w="6860"/>
          </w:tcPr>
          <w:p>
            <w:pPr>
              <w:spacing w:before="0" w:after="0" w:line="276" w:lineRule="auto"/>
            </w:pPr>
            <w:r>
              <w:rPr>
                <w:rFonts w:ascii="Arial" w:hAnsi="Arial" w:cs="Arial" w:eastAsia="Arial"/>
                <w:b/>
                <w:bCs/>
                <w:color w:val="0E1E3A"/>
                <w:sz w:val="18"/>
                <w:szCs w:val="18"/>
              </w:rPr>
              <w:t>SAR 94,681,101</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4" name="Picture 904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MARKET VALUE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AS AT THE LISTING DATE</w:t>
            </w:r>
          </w:p>
        </w:tc>
        <w:tc>
          <w:tcPr>
            <w:tcW w:type="dxa" w:w="6860"/>
          </w:tcPr>
          <w:p>
            <w:pPr>
              <w:spacing w:before="0" w:after="0" w:line="276" w:lineRule="auto"/>
            </w:pPr>
            <w:r>
              <w:rPr>
                <w:rFonts w:ascii="Arial" w:hAnsi="Arial" w:cs="Arial" w:eastAsia="Arial"/>
                <w:b/>
                <w:bCs/>
                <w:color w:val="0E1E3A"/>
                <w:sz w:val="18"/>
                <w:szCs w:val="18"/>
              </w:rPr>
              <w:t>SAR 1,000,000,000</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JUNE 2022</w:t>
            </w:r>
          </w:p>
        </w:tc>
        <w:tc>
          <w:tcPr>
            <w:tcW w:type="dxa" w:w="6860"/>
          </w:tcPr>
          <w:p>
            <w:pPr>
              <w:spacing w:before="0" w:after="0" w:line="276" w:lineRule="auto"/>
            </w:pPr>
            <w:r>
              <w:rPr>
                <w:rFonts w:ascii="Arial" w:hAnsi="Arial" w:cs="Arial" w:eastAsia="Arial"/>
                <w:b/>
                <w:bCs/>
                <w:color w:val="0E1E3A"/>
                <w:sz w:val="18"/>
                <w:szCs w:val="18"/>
              </w:rPr>
              <w:t>SAR 691,000,000</w:t>
            </w:r>
          </w:p>
        </w:tc>
      </w:tr>
      <w:tr>
        <w:tc>
          <w:tcPr>
            <w:tcW w:type="dxa" w:w="3118"/>
            <w:shd w:val="clear" w:color="auto" w:fill="F3F6FB"/>
          </w:tcPr>
          <w:p>
            <w:pPr>
              <w:spacing w:before="0" w:after="0" w:line="276" w:lineRule="auto"/>
            </w:pPr>
            <w:r>
              <w:rPr>
                <w:rFonts w:ascii="Arial" w:hAnsi="Arial" w:cs="Arial" w:eastAsia="Arial"/>
                <w:color w:val="5A6478"/>
                <w:sz w:val="18"/>
                <w:szCs w:val="18"/>
              </w:rPr>
              <w:t>AS AT 29 SEPTEMBER 2022</w:t>
            </w:r>
          </w:p>
        </w:tc>
        <w:tc>
          <w:tcPr>
            <w:tcW w:type="dxa" w:w="6860"/>
          </w:tcPr>
          <w:p>
            <w:pPr>
              <w:spacing w:before="0" w:after="0" w:line="276" w:lineRule="auto"/>
            </w:pPr>
            <w:r>
              <w:rPr>
                <w:rFonts w:ascii="Arial" w:hAnsi="Arial" w:cs="Arial" w:eastAsia="Arial"/>
                <w:b/>
                <w:bCs/>
                <w:color w:val="0E1E3A"/>
                <w:sz w:val="18"/>
                <w:szCs w:val="18"/>
              </w:rPr>
              <w:t>SAR 617,000,000</w:t>
            </w:r>
          </w:p>
        </w:tc>
      </w:tr>
      <w:tr>
        <w:tc>
          <w:tcPr>
            <w:tcW w:type="dxa" w:w="3118"/>
            <w:shd w:val="clear" w:color="auto" w:fill="F3F6FB"/>
          </w:tcPr>
          <w:p>
            <w:pPr>
              <w:spacing w:before="0" w:after="0" w:line="276" w:lineRule="auto"/>
            </w:pPr>
            <w:r>
              <w:rPr>
                <w:rFonts w:ascii="Arial" w:hAnsi="Arial" w:cs="Arial" w:eastAsia="Arial"/>
                <w:color w:val="5A6478"/>
                <w:sz w:val="18"/>
                <w:szCs w:val="18"/>
              </w:rPr>
              <w:t>AS AT 29 DECEMBER 2022</w:t>
            </w:r>
          </w:p>
        </w:tc>
        <w:tc>
          <w:tcPr>
            <w:tcW w:type="dxa" w:w="6860"/>
          </w:tcPr>
          <w:p>
            <w:pPr>
              <w:spacing w:before="0" w:after="0" w:line="276" w:lineRule="auto"/>
            </w:pPr>
            <w:r>
              <w:rPr>
                <w:rFonts w:ascii="Arial" w:hAnsi="Arial" w:cs="Arial" w:eastAsia="Arial"/>
                <w:b/>
                <w:bCs/>
                <w:color w:val="0E1E3A"/>
                <w:sz w:val="18"/>
                <w:szCs w:val="18"/>
              </w:rPr>
              <w:t>SAR 569,000,000</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MARCH 2023</w:t>
            </w:r>
          </w:p>
        </w:tc>
        <w:tc>
          <w:tcPr>
            <w:tcW w:type="dxa" w:w="6860"/>
          </w:tcPr>
          <w:p>
            <w:pPr>
              <w:spacing w:before="0" w:after="0" w:line="276" w:lineRule="auto"/>
            </w:pPr>
            <w:r>
              <w:rPr>
                <w:rFonts w:ascii="Arial" w:hAnsi="Arial" w:cs="Arial" w:eastAsia="Arial"/>
                <w:b/>
                <w:bCs/>
                <w:color w:val="0E1E3A"/>
                <w:sz w:val="18"/>
                <w:szCs w:val="18"/>
              </w:rPr>
              <w:t>SAR 597,000,000</w:t>
            </w:r>
          </w:p>
        </w:tc>
      </w:tr>
      <w:tr>
        <w:tc>
          <w:tcPr>
            <w:tcW w:type="dxa" w:w="3118"/>
            <w:shd w:val="clear" w:color="auto" w:fill="F3F6FB"/>
          </w:tcPr>
          <w:p>
            <w:pPr>
              <w:spacing w:before="0" w:after="0" w:line="276" w:lineRule="auto"/>
            </w:pPr>
            <w:r>
              <w:rPr>
                <w:rFonts w:ascii="Arial" w:hAnsi="Arial" w:cs="Arial" w:eastAsia="Arial"/>
                <w:color w:val="5A6478"/>
                <w:sz w:val="18"/>
                <w:szCs w:val="18"/>
              </w:rPr>
              <w:t>AS AT 22 JUNE 2023</w:t>
            </w:r>
          </w:p>
        </w:tc>
        <w:tc>
          <w:tcPr>
            <w:tcW w:type="dxa" w:w="6860"/>
          </w:tcPr>
          <w:p>
            <w:pPr>
              <w:spacing w:before="0" w:after="0" w:line="276" w:lineRule="auto"/>
            </w:pPr>
            <w:r>
              <w:rPr>
                <w:rFonts w:ascii="Arial" w:hAnsi="Arial" w:cs="Arial" w:eastAsia="Arial"/>
                <w:b/>
                <w:bCs/>
                <w:color w:val="0E1E3A"/>
                <w:sz w:val="18"/>
                <w:szCs w:val="18"/>
              </w:rPr>
              <w:t>SAR 811,000,000</w:t>
            </w:r>
          </w:p>
        </w:tc>
      </w:tr>
      <w:tr>
        <w:tc>
          <w:tcPr>
            <w:tcW w:type="dxa" w:w="3118"/>
            <w:shd w:val="clear" w:color="auto" w:fill="F3F6FB"/>
          </w:tcPr>
          <w:p>
            <w:pPr>
              <w:spacing w:before="0" w:after="0" w:line="276" w:lineRule="auto"/>
            </w:pPr>
            <w:r>
              <w:rPr>
                <w:rFonts w:ascii="Arial" w:hAnsi="Arial" w:cs="Arial" w:eastAsia="Arial"/>
                <w:color w:val="5A6478"/>
                <w:sz w:val="18"/>
                <w:szCs w:val="18"/>
              </w:rPr>
              <w:t>AS AT 28 SEPTEMBER 2023*</w:t>
            </w:r>
          </w:p>
        </w:tc>
        <w:tc>
          <w:tcPr>
            <w:tcW w:type="dxa" w:w="6860"/>
          </w:tcPr>
          <w:p>
            <w:pPr>
              <w:spacing w:before="0" w:after="0" w:line="276" w:lineRule="auto"/>
            </w:pPr>
            <w:r>
              <w:rPr>
                <w:rFonts w:ascii="Arial" w:hAnsi="Arial" w:cs="Arial" w:eastAsia="Arial"/>
                <w:b/>
                <w:bCs/>
                <w:color w:val="0E1E3A"/>
                <w:sz w:val="18"/>
                <w:szCs w:val="18"/>
              </w:rPr>
              <w:t>SAR 654,189,890</w:t>
            </w:r>
          </w:p>
        </w:tc>
      </w:tr>
    </w:tbl>
    <w:p>
      <w:pPr>
        <w:spacing w:before="0" w:after="40" w:line="300" w:lineRule="auto"/>
      </w:pPr>
    </w:p>
    <w:p>
      <w:pPr>
        <w:spacing w:before="0" w:after="80" w:line="312" w:lineRule="auto"/>
      </w:pPr>
      <w:r>
        <w:rPr>
          <w:rFonts w:ascii="Arial" w:hAnsi="Arial" w:cs="Arial" w:eastAsia="Arial"/>
          <w:color w:val="5A6478"/>
          <w:sz w:val="17"/>
          <w:szCs w:val="17"/>
        </w:rPr>
        <w:t>* Excluding Units bought back by the Fund for cancellation (24,371,111 Units) as at 30 September 2023.</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5" name="Picture 9047"/>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NET ASSET VALUE AND UNIT PRICE PERFORMANCE*</w:t>
      </w:r>
    </w:p>
    <w:p>
      <w:pPr>
        <w:spacing w:before="0" w:after="80" w:line="240" w:lineRule="auto"/>
        <w:jc w:val="center"/>
      </w:pPr>
      <w:r>
        <w:drawing>
          <wp:inline xmlns:a="http://schemas.openxmlformats.org/drawingml/2006/main" xmlns:pic="http://schemas.openxmlformats.org/drawingml/2006/picture">
            <wp:extent cx="6336000" cy="2968216"/>
            <wp:docPr id="16" name="Picture 9048"/>
            <wp:cNvGraphicFramePr>
              <a:graphicFrameLocks noChangeAspect="1"/>
            </wp:cNvGraphicFramePr>
            <a:graphic>
              <a:graphicData uri="http://schemas.openxmlformats.org/drawingml/2006/picture">
                <pic:pic>
                  <pic:nvPicPr>
                    <pic:cNvPr id="0" name="x6.j.jpg"/>
                    <pic:cNvPicPr/>
                  </pic:nvPicPr>
                  <pic:blipFill>
                    <a:blip r:embed="rId21"/>
                    <a:stretch>
                      <a:fillRect/>
                    </a:stretch>
                  </pic:blipFill>
                  <pic:spPr>
                    <a:xfrm>
                      <a:off x="0" y="0"/>
                      <a:ext cx="6336000" cy="2968216"/>
                    </a:xfrm>
                    <a:prstGeom prst="rect"/>
                  </pic:spPr>
                </pic:pic>
              </a:graphicData>
            </a:graphic>
          </wp:inline>
        </w:drawing>
      </w:r>
    </w:p>
    <w:p>
      <w:pPr>
        <w:spacing w:before="0" w:after="80" w:line="312" w:lineRule="auto"/>
      </w:pPr>
      <w:r>
        <w:rPr>
          <w:rFonts w:ascii="Arial" w:hAnsi="Arial" w:cs="Arial" w:eastAsia="Arial"/>
          <w:color w:val="5A6478"/>
          <w:sz w:val="17"/>
          <w:szCs w:val="17"/>
        </w:rPr>
        <w:t>* Based on the Unit Price.</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7" name="Picture 904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UNITS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UNIT PRICE AS AT THE END OF Q3 (28 SEPTEMBER 2023)</w:t>
            </w:r>
          </w:p>
        </w:tc>
        <w:tc>
          <w:tcPr>
            <w:tcW w:type="dxa" w:w="6860"/>
          </w:tcPr>
          <w:p>
            <w:pPr>
              <w:spacing w:before="0" w:after="0" w:line="276" w:lineRule="auto"/>
            </w:pPr>
            <w:r>
              <w:rPr>
                <w:rFonts w:ascii="Arial" w:hAnsi="Arial" w:cs="Arial" w:eastAsia="Arial"/>
                <w:b/>
                <w:bCs/>
                <w:color w:val="0E1E3A"/>
                <w:sz w:val="18"/>
                <w:szCs w:val="18"/>
              </w:rPr>
              <w:t>SAR 8.65</w:t>
            </w:r>
          </w:p>
        </w:tc>
      </w:tr>
      <w:tr>
        <w:tc>
          <w:tcPr>
            <w:tcW w:type="dxa" w:w="3118"/>
            <w:shd w:val="clear" w:color="auto" w:fill="F3F6FB"/>
          </w:tcPr>
          <w:p>
            <w:pPr>
              <w:spacing w:before="0" w:after="0" w:line="276" w:lineRule="auto"/>
            </w:pPr>
            <w:r>
              <w:rPr>
                <w:rFonts w:ascii="Arial" w:hAnsi="Arial" w:cs="Arial" w:eastAsia="Arial"/>
                <w:color w:val="5A6478"/>
                <w:sz w:val="18"/>
                <w:szCs w:val="18"/>
              </w:rPr>
              <w:t>CHANGE IN UNIT PRICE DURING THE CURRENT QUARTER COMPARED TO THE PREVIOUS QUARTER (30 JUNE 2023 TO 30 SEPTEMBER 2023)</w:t>
            </w:r>
          </w:p>
        </w:tc>
        <w:tc>
          <w:tcPr>
            <w:tcW w:type="dxa" w:w="6860"/>
          </w:tcPr>
          <w:p>
            <w:pPr>
              <w:spacing w:before="0" w:after="0" w:line="276" w:lineRule="auto"/>
            </w:pPr>
            <w:r>
              <w:rPr>
                <w:rFonts w:ascii="Arial" w:hAnsi="Arial" w:cs="Arial" w:eastAsia="Arial"/>
                <w:b/>
                <w:bCs/>
                <w:color w:val="0E1E3A"/>
                <w:sz w:val="18"/>
                <w:szCs w:val="18"/>
              </w:rPr>
              <w:t>6.66%</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LISTING DATE (FROM THE LISTING DATE TO END Q3 2023)</w:t>
            </w:r>
          </w:p>
        </w:tc>
        <w:tc>
          <w:tcPr>
            <w:tcW w:type="dxa" w:w="6860"/>
          </w:tcPr>
          <w:p>
            <w:pPr>
              <w:spacing w:before="0" w:after="0" w:line="276" w:lineRule="auto"/>
            </w:pPr>
            <w:r>
              <w:rPr>
                <w:rFonts w:ascii="Arial" w:hAnsi="Arial" w:cs="Arial" w:eastAsia="Arial"/>
                <w:b/>
                <w:bCs/>
                <w:color w:val="0E1E3A"/>
                <w:sz w:val="18"/>
                <w:szCs w:val="18"/>
              </w:rPr>
              <w:t>-13.50%</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TOTAL RETURN SINCE THE LISTING DATE (FROM THE LISTING DATE TO END Q3 2023)</w:t>
            </w:r>
          </w:p>
        </w:tc>
        <w:tc>
          <w:tcPr>
            <w:tcW w:type="dxa" w:w="6860"/>
          </w:tcPr>
          <w:p>
            <w:pPr>
              <w:spacing w:before="0" w:after="0" w:line="276" w:lineRule="auto"/>
            </w:pPr>
            <w:r>
              <w:rPr>
                <w:rFonts w:ascii="Arial" w:hAnsi="Arial" w:cs="Arial" w:eastAsia="Arial"/>
                <w:b/>
                <w:bCs/>
                <w:color w:val="0E1E3A"/>
                <w:sz w:val="18"/>
                <w:szCs w:val="18"/>
              </w:rPr>
              <w:t>-4.55%</w:t>
            </w:r>
          </w:p>
        </w:tc>
      </w:tr>
      <w:tr>
        <w:tc>
          <w:tcPr>
            <w:tcW w:type="dxa" w:w="3118"/>
            <w:shd w:val="clear" w:color="auto" w:fill="F3F6FB"/>
          </w:tcPr>
          <w:p>
            <w:pPr>
              <w:spacing w:before="0" w:after="0" w:line="276" w:lineRule="auto"/>
            </w:pPr>
            <w:r>
              <w:rPr>
                <w:rFonts w:ascii="Arial" w:hAnsi="Arial" w:cs="Arial" w:eastAsia="Arial"/>
                <w:color w:val="5A6478"/>
                <w:sz w:val="18"/>
                <w:szCs w:val="18"/>
              </w:rPr>
              <w:t>52-WEEK HIGH</w:t>
            </w:r>
          </w:p>
        </w:tc>
        <w:tc>
          <w:tcPr>
            <w:tcW w:type="dxa" w:w="6860"/>
          </w:tcPr>
          <w:p>
            <w:pPr>
              <w:spacing w:before="0" w:after="0" w:line="276" w:lineRule="auto"/>
            </w:pPr>
            <w:r>
              <w:rPr>
                <w:rFonts w:ascii="Arial" w:hAnsi="Arial" w:cs="Arial" w:eastAsia="Arial"/>
                <w:b/>
                <w:bCs/>
                <w:color w:val="0E1E3A"/>
                <w:sz w:val="18"/>
                <w:szCs w:val="18"/>
              </w:rPr>
              <w:t>SAR 9.97</w:t>
            </w:r>
          </w:p>
        </w:tc>
      </w:tr>
      <w:tr>
        <w:tc>
          <w:tcPr>
            <w:tcW w:type="dxa" w:w="3118"/>
            <w:shd w:val="clear" w:color="auto" w:fill="F3F6FB"/>
          </w:tcPr>
          <w:p>
            <w:pPr>
              <w:spacing w:before="0" w:after="0" w:line="276" w:lineRule="auto"/>
            </w:pPr>
            <w:r>
              <w:rPr>
                <w:rFonts w:ascii="Arial" w:hAnsi="Arial" w:cs="Arial" w:eastAsia="Arial"/>
                <w:color w:val="5A6478"/>
                <w:sz w:val="18"/>
                <w:szCs w:val="18"/>
              </w:rPr>
              <w:t>52-WEEK LOW</w:t>
            </w:r>
          </w:p>
        </w:tc>
        <w:tc>
          <w:tcPr>
            <w:tcW w:type="dxa" w:w="6860"/>
          </w:tcPr>
          <w:p>
            <w:pPr>
              <w:spacing w:before="0" w:after="0" w:line="276" w:lineRule="auto"/>
            </w:pPr>
            <w:r>
              <w:rPr>
                <w:rFonts w:ascii="Arial" w:hAnsi="Arial" w:cs="Arial" w:eastAsia="Arial"/>
                <w:b/>
                <w:bCs/>
                <w:color w:val="0E1E3A"/>
                <w:sz w:val="18"/>
                <w:szCs w:val="18"/>
              </w:rPr>
              <w:t>SAR 5.66</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OUTSTANDING UNITS (AS AT 28 SEPTEMBER 2023) *</w:t>
            </w:r>
          </w:p>
        </w:tc>
        <w:tc>
          <w:tcPr>
            <w:tcW w:type="dxa" w:w="6860"/>
          </w:tcPr>
          <w:p>
            <w:pPr>
              <w:spacing w:before="0" w:after="0" w:line="276" w:lineRule="auto"/>
            </w:pPr>
            <w:r>
              <w:rPr>
                <w:rFonts w:ascii="Arial" w:hAnsi="Arial" w:cs="Arial" w:eastAsia="Arial"/>
                <w:b/>
                <w:bCs/>
                <w:color w:val="0E1E3A"/>
                <w:sz w:val="18"/>
                <w:szCs w:val="18"/>
              </w:rPr>
              <w:t>75,628,889 Units</w:t>
            </w:r>
          </w:p>
        </w:tc>
      </w:tr>
      <w:tr>
        <w:tc>
          <w:tcPr>
            <w:tcW w:type="dxa" w:w="3118"/>
            <w:shd w:val="clear" w:color="auto" w:fill="F3F6FB"/>
          </w:tcPr>
          <w:p>
            <w:pPr>
              <w:spacing w:before="0" w:after="0" w:line="276" w:lineRule="auto"/>
            </w:pPr>
            <w:r>
              <w:rPr>
                <w:rFonts w:ascii="Arial" w:hAnsi="Arial" w:cs="Arial" w:eastAsia="Arial"/>
                <w:color w:val="5A6478"/>
                <w:sz w:val="18"/>
                <w:szCs w:val="18"/>
              </w:rPr>
              <w:t>DUAL UNIT PRICE OF MONEY MARKET FUNDS AND FIXED INCOME DEBT FUNDS</w:t>
            </w:r>
          </w:p>
        </w:tc>
        <w:tc>
          <w:tcPr>
            <w:tcW w:type="dxa" w:w="6860"/>
          </w:tcPr>
          <w:p>
            <w:pPr>
              <w:spacing w:before="0" w:after="0" w:line="276" w:lineRule="auto"/>
            </w:pPr>
            <w:r>
              <w:rPr>
                <w:rFonts w:ascii="Arial" w:hAnsi="Arial" w:cs="Arial" w:eastAsia="Arial"/>
                <w:b/>
                <w:bCs/>
                <w:color w:val="0E1E3A"/>
                <w:sz w:val="18"/>
                <w:szCs w:val="18"/>
              </w:rPr>
              <w:t>N/A</w:t>
            </w:r>
          </w:p>
        </w:tc>
      </w:tr>
    </w:tbl>
    <w:p>
      <w:pPr>
        <w:spacing w:before="0" w:after="40" w:line="300" w:lineRule="auto"/>
      </w:pPr>
    </w:p>
    <w:p>
      <w:pPr>
        <w:spacing w:before="0" w:after="80" w:line="312" w:lineRule="auto"/>
      </w:pPr>
      <w:r>
        <w:rPr>
          <w:rFonts w:ascii="Arial" w:hAnsi="Arial" w:cs="Arial" w:eastAsia="Arial"/>
          <w:color w:val="5A6478"/>
          <w:sz w:val="17"/>
          <w:szCs w:val="17"/>
        </w:rPr>
        <w:t>* After deducting Units bought back by the Fund for cancellation.</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8" name="Picture 9050"/>
            <wp:cNvGraphicFramePr>
              <a:graphicFrameLocks noChangeAspect="1"/>
            </wp:cNvGraphicFramePr>
            <a:graphic>
              <a:graphicData uri="http://schemas.openxmlformats.org/drawingml/2006/picture">
                <pic:pic>
                  <pic:nvPicPr>
                    <pic:cNvPr id="0" name="ico_737e94dc9d8d67dbf235ae564951a5f7.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DIVIDEND DISTRIBUTION DURING THE REPORTING QUARTER</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DIVIDEND DISTRIBUTION POLICY</w:t>
            </w:r>
          </w:p>
        </w:tc>
        <w:tc>
          <w:tcPr>
            <w:tcW w:type="dxa" w:w="6860"/>
          </w:tcPr>
          <w:p>
            <w:pPr>
              <w:spacing w:before="0" w:after="0" w:line="276" w:lineRule="auto"/>
            </w:pPr>
            <w:r>
              <w:rPr>
                <w:rFonts w:ascii="Arial" w:hAnsi="Arial" w:cs="Arial" w:eastAsia="Arial"/>
                <w:b/>
                <w:bCs/>
                <w:color w:val="0E1E3A"/>
                <w:sz w:val="18"/>
                <w:szCs w:val="18"/>
              </w:rPr>
              <w:t>The Fund Manager aims to distribute 100% of the net returns on the Fund's investments, which only include the distributions of Fund's underlying listed shares twice a year. The Fund will distribute returns within Forty (40) business days after the date of issue of the semi-annual and annual financial statements. The Fund Manager may, at its discretion, distribute up to 50% of the realized and unrealized capital gains twice a year. The Fund will distribute realized and unrealized capital gains (if any) within ten (10) business days after the date of issue of the semi-annual and annual financial statements. Details of the cash distributions will be announced on Saudi Tadawul's website.</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 DISTRIBUTIONS FOR THE REPORTING QUARTER</w:t>
            </w:r>
          </w:p>
        </w:tc>
        <w:tc>
          <w:tcPr>
            <w:tcW w:type="dxa" w:w="6860"/>
          </w:tcPr>
          <w:p>
            <w:pPr>
              <w:spacing w:before="0" w:after="0" w:line="276" w:lineRule="auto"/>
            </w:pPr>
            <w:r>
              <w:rPr>
                <w:rFonts w:ascii="Arial" w:hAnsi="Arial" w:cs="Arial" w:eastAsia="Arial"/>
                <w:b/>
                <w:bCs/>
                <w:color w:val="0E1E3A"/>
                <w:sz w:val="18"/>
                <w:szCs w:val="18"/>
              </w:rPr>
              <w:t>SAR 0.00</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 DISTRIBUTIONS FOR THE LAST SEMI-ANNUAL PERIOD</w:t>
            </w:r>
          </w:p>
        </w:tc>
        <w:tc>
          <w:tcPr>
            <w:tcW w:type="dxa" w:w="6860"/>
          </w:tcPr>
          <w:p>
            <w:pPr>
              <w:spacing w:before="0" w:after="0" w:line="276" w:lineRule="auto"/>
            </w:pPr>
            <w:r>
              <w:rPr>
                <w:rFonts w:ascii="Arial" w:hAnsi="Arial" w:cs="Arial" w:eastAsia="Arial"/>
                <w:b/>
                <w:bCs/>
                <w:color w:val="0E1E3A"/>
                <w:sz w:val="18"/>
                <w:szCs w:val="18"/>
              </w:rPr>
              <w:t>SAR 79,225,591</w:t>
            </w:r>
          </w:p>
        </w:tc>
      </w:tr>
      <w:tr>
        <w:tc>
          <w:tcPr>
            <w:tcW w:type="dxa" w:w="3118"/>
            <w:shd w:val="clear" w:color="auto" w:fill="F3F6FB"/>
          </w:tcPr>
          <w:p>
            <w:pPr>
              <w:spacing w:before="0" w:after="0" w:line="276" w:lineRule="auto"/>
            </w:pPr>
            <w:r>
              <w:rPr>
                <w:rFonts w:ascii="Arial" w:hAnsi="Arial" w:cs="Arial" w:eastAsia="Arial"/>
                <w:color w:val="5A6478"/>
                <w:sz w:val="18"/>
                <w:szCs w:val="18"/>
              </w:rPr>
              <w:t>DIVIDEND DISTRIBUTIONS FOR THE LAST SEMI-ANNUAL PERIOD PER UNIT</w:t>
            </w:r>
          </w:p>
        </w:tc>
        <w:tc>
          <w:tcPr>
            <w:tcW w:type="dxa" w:w="6860"/>
          </w:tcPr>
          <w:p>
            <w:pPr>
              <w:spacing w:before="0" w:after="0" w:line="276" w:lineRule="auto"/>
            </w:pPr>
            <w:r>
              <w:rPr>
                <w:rFonts w:ascii="Arial" w:hAnsi="Arial" w:cs="Arial" w:eastAsia="Arial"/>
                <w:b/>
                <w:bCs/>
                <w:color w:val="0E1E3A"/>
                <w:sz w:val="18"/>
                <w:szCs w:val="18"/>
              </w:rPr>
              <w:t>SAR 0.93</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DISTRIBUTED DIVIDENDS IN THE REPORTING QUARTER TO INITIAL UNIT PRICE</w:t>
            </w:r>
          </w:p>
        </w:tc>
        <w:tc>
          <w:tcPr>
            <w:tcW w:type="dxa" w:w="6860"/>
          </w:tcPr>
          <w:p>
            <w:pPr>
              <w:spacing w:before="0" w:after="0" w:line="276" w:lineRule="auto"/>
            </w:pPr>
            <w:r>
              <w:rPr>
                <w:rFonts w:ascii="Arial" w:hAnsi="Arial" w:cs="Arial" w:eastAsia="Arial"/>
                <w:b/>
                <w:bCs/>
                <w:color w:val="0E1E3A"/>
                <w:sz w:val="18"/>
                <w:szCs w:val="18"/>
              </w:rPr>
              <w:t>9.30%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DISTRIBUTED DIVIDENDS TO MARKET UNIT PRICE</w:t>
            </w:r>
          </w:p>
        </w:tc>
        <w:tc>
          <w:tcPr>
            <w:tcW w:type="dxa" w:w="6860"/>
          </w:tcPr>
          <w:p>
            <w:pPr>
              <w:spacing w:before="0" w:after="0" w:line="276" w:lineRule="auto"/>
            </w:pPr>
            <w:r>
              <w:rPr>
                <w:rFonts w:ascii="Arial" w:hAnsi="Arial" w:cs="Arial" w:eastAsia="Arial"/>
                <w:b/>
                <w:bCs/>
                <w:color w:val="0E1E3A"/>
                <w:sz w:val="18"/>
                <w:szCs w:val="18"/>
              </w:rPr>
              <w:t>10.75%</w:t>
            </w:r>
          </w:p>
        </w:tc>
      </w:tr>
      <w:tr>
        <w:tc>
          <w:tcPr>
            <w:tcW w:type="dxa" w:w="3118"/>
            <w:shd w:val="clear" w:color="auto" w:fill="F3F6FB"/>
          </w:tcPr>
          <w:p>
            <w:pPr>
              <w:spacing w:before="0" w:after="0" w:line="276" w:lineRule="auto"/>
            </w:pPr>
            <w:r>
              <w:rPr>
                <w:rFonts w:ascii="Arial" w:hAnsi="Arial" w:cs="Arial" w:eastAsia="Arial"/>
                <w:color w:val="5A6478"/>
                <w:sz w:val="18"/>
                <w:szCs w:val="18"/>
              </w:rPr>
              <w:t>GAINS RECEIVED ON THE FUND'S UNDERLYING LISTED SHARES</w:t>
            </w:r>
          </w:p>
        </w:tc>
        <w:tc>
          <w:tcPr>
            <w:tcW w:type="dxa" w:w="6860"/>
          </w:tcPr>
          <w:p>
            <w:pPr>
              <w:spacing w:before="0" w:after="0" w:line="276" w:lineRule="auto"/>
            </w:pPr>
            <w:r>
              <w:rPr>
                <w:rFonts w:ascii="Arial" w:hAnsi="Arial" w:cs="Arial" w:eastAsia="Arial"/>
                <w:b/>
                <w:bCs/>
                <w:color w:val="0E1E3A"/>
                <w:sz w:val="18"/>
                <w:szCs w:val="18"/>
              </w:rPr>
              <w:t>SAR 2,862,685</w:t>
            </w:r>
          </w:p>
        </w:tc>
      </w:tr>
      <w:tr>
        <w:tc>
          <w:tcPr>
            <w:tcW w:type="dxa" w:w="3118"/>
            <w:shd w:val="clear" w:color="auto" w:fill="F3F6FB"/>
          </w:tcPr>
          <w:p>
            <w:pPr>
              <w:spacing w:before="0" w:after="0" w:line="276" w:lineRule="auto"/>
            </w:pPr>
            <w:r>
              <w:rPr>
                <w:rFonts w:ascii="Arial" w:hAnsi="Arial" w:cs="Arial" w:eastAsia="Arial"/>
                <w:color w:val="5A6478"/>
                <w:sz w:val="18"/>
                <w:szCs w:val="18"/>
              </w:rPr>
              <w:t>REALIZED GAIN ON THE FUND'S INVESTMENTS</w:t>
            </w:r>
          </w:p>
        </w:tc>
        <w:tc>
          <w:tcPr>
            <w:tcW w:type="dxa" w:w="6860"/>
          </w:tcPr>
          <w:p>
            <w:pPr>
              <w:spacing w:before="0" w:after="0" w:line="276" w:lineRule="auto"/>
            </w:pPr>
            <w:r>
              <w:rPr>
                <w:rFonts w:ascii="Arial" w:hAnsi="Arial" w:cs="Arial" w:eastAsia="Arial"/>
                <w:b/>
                <w:bCs/>
                <w:color w:val="0E1E3A"/>
                <w:sz w:val="18"/>
                <w:szCs w:val="18"/>
              </w:rPr>
              <w:t>SAR 44,672,773</w:t>
            </w:r>
          </w:p>
        </w:tc>
      </w:tr>
      <w:tr>
        <w:tc>
          <w:tcPr>
            <w:tcW w:type="dxa" w:w="3118"/>
            <w:shd w:val="clear" w:color="auto" w:fill="F3F6FB"/>
          </w:tcPr>
          <w:p>
            <w:pPr>
              <w:spacing w:before="0" w:after="0" w:line="276" w:lineRule="auto"/>
            </w:pPr>
            <w:r>
              <w:rPr>
                <w:rFonts w:ascii="Arial" w:hAnsi="Arial" w:cs="Arial" w:eastAsia="Arial"/>
                <w:color w:val="5A6478"/>
                <w:sz w:val="18"/>
                <w:szCs w:val="18"/>
              </w:rPr>
              <w:t>UNREALIZED LOSS ON THE FUND'S INVESTMENTS</w:t>
            </w:r>
          </w:p>
        </w:tc>
        <w:tc>
          <w:tcPr>
            <w:tcW w:type="dxa" w:w="6860"/>
          </w:tcPr>
          <w:p>
            <w:pPr>
              <w:spacing w:before="0" w:after="0" w:line="276" w:lineRule="auto"/>
            </w:pPr>
            <w:r>
              <w:rPr>
                <w:rFonts w:ascii="Arial" w:hAnsi="Arial" w:cs="Arial" w:eastAsia="Arial"/>
                <w:b/>
                <w:bCs/>
                <w:color w:val="0E1E3A"/>
                <w:sz w:val="18"/>
                <w:szCs w:val="18"/>
              </w:rPr>
              <w:t>SAR (67,277,534)</w:t>
            </w:r>
          </w:p>
        </w:tc>
      </w:tr>
      <w:tr>
        <w:tc>
          <w:tcPr>
            <w:tcW w:type="dxa" w:w="3118"/>
            <w:shd w:val="clear" w:color="auto" w:fill="F3F6FB"/>
          </w:tcPr>
          <w:p>
            <w:pPr>
              <w:spacing w:before="0" w:after="0" w:line="276" w:lineRule="auto"/>
            </w:pPr>
            <w:r>
              <w:rPr>
                <w:rFonts w:ascii="Arial" w:hAnsi="Arial" w:cs="Arial" w:eastAsia="Arial"/>
                <w:color w:val="5A6478"/>
                <w:sz w:val="18"/>
                <w:szCs w:val="18"/>
              </w:rPr>
              <w:t>LOSS FROM FOREIGN CURRENCY RATE DIFFERENCES</w:t>
            </w:r>
          </w:p>
        </w:tc>
        <w:tc>
          <w:tcPr>
            <w:tcW w:type="dxa" w:w="6860"/>
          </w:tcPr>
          <w:p>
            <w:pPr>
              <w:spacing w:before="0" w:after="0" w:line="276" w:lineRule="auto"/>
            </w:pPr>
            <w:r>
              <w:rPr>
                <w:rFonts w:ascii="Arial" w:hAnsi="Arial" w:cs="Arial" w:eastAsia="Arial"/>
                <w:b/>
                <w:bCs/>
                <w:color w:val="0E1E3A"/>
                <w:sz w:val="18"/>
                <w:szCs w:val="18"/>
              </w:rPr>
              <w:t>SAR (3,995,644)</w:t>
            </w:r>
          </w:p>
        </w:tc>
      </w:tr>
      <w:tr>
        <w:tc>
          <w:tcPr>
            <w:tcW w:type="dxa" w:w="3118"/>
            <w:shd w:val="clear" w:color="auto" w:fill="F3F6FB"/>
          </w:tcPr>
          <w:p>
            <w:pPr>
              <w:spacing w:before="0" w:after="0" w:line="276" w:lineRule="auto"/>
            </w:pPr>
            <w:r>
              <w:rPr>
                <w:rFonts w:ascii="Arial" w:hAnsi="Arial" w:cs="Arial" w:eastAsia="Arial"/>
                <w:color w:val="5A6478"/>
                <w:sz w:val="18"/>
                <w:szCs w:val="18"/>
              </w:rPr>
              <w:t>TOTAL INCOME FOR THE REPORTING QUARTER</w:t>
            </w:r>
          </w:p>
        </w:tc>
        <w:tc>
          <w:tcPr>
            <w:tcW w:type="dxa" w:w="6860"/>
          </w:tcPr>
          <w:p>
            <w:pPr>
              <w:spacing w:before="0" w:after="0" w:line="276" w:lineRule="auto"/>
            </w:pPr>
            <w:r>
              <w:rPr>
                <w:rFonts w:ascii="Arial" w:hAnsi="Arial" w:cs="Arial" w:eastAsia="Arial"/>
                <w:b/>
                <w:bCs/>
                <w:color w:val="0E1E3A"/>
                <w:sz w:val="18"/>
                <w:szCs w:val="18"/>
              </w:rPr>
              <w:t>SAR (23,737,720)</w:t>
            </w:r>
          </w:p>
        </w:tc>
      </w:tr>
      <w:tr>
        <w:tc>
          <w:tcPr>
            <w:tcW w:type="dxa" w:w="3118"/>
            <w:shd w:val="clear" w:color="auto" w:fill="F3F6FB"/>
          </w:tcPr>
          <w:p>
            <w:pPr>
              <w:spacing w:before="0" w:after="0" w:line="276" w:lineRule="auto"/>
            </w:pPr>
            <w:r>
              <w:rPr>
                <w:rFonts w:ascii="Arial" w:hAnsi="Arial" w:cs="Arial" w:eastAsia="Arial"/>
                <w:color w:val="5A6478"/>
                <w:sz w:val="18"/>
                <w:szCs w:val="18"/>
              </w:rPr>
              <w:t>TOTAL INCOME FOR THE REPORTING QUARTER TO UNIT PRICE AS AT 30 SEPTEMBER 2023</w:t>
            </w:r>
          </w:p>
        </w:tc>
        <w:tc>
          <w:tcPr>
            <w:tcW w:type="dxa" w:w="6860"/>
          </w:tcPr>
          <w:p>
            <w:pPr>
              <w:spacing w:before="0" w:after="0" w:line="276" w:lineRule="auto"/>
            </w:pPr>
            <w:r>
              <w:rPr>
                <w:rFonts w:ascii="Arial" w:hAnsi="Arial" w:cs="Arial" w:eastAsia="Arial"/>
                <w:b/>
                <w:bCs/>
                <w:color w:val="0E1E3A"/>
                <w:sz w:val="18"/>
                <w:szCs w:val="18"/>
              </w:rPr>
              <w:t>-3.63%</w:t>
            </w:r>
          </w:p>
        </w:tc>
      </w:tr>
    </w:tbl>
    <w:p>
      <w:pPr>
        <w:spacing w:before="0" w:after="40" w:line="300" w:lineRule="auto"/>
      </w:pPr>
    </w:p>
    <w:p>
      <w:pPr>
        <w:spacing w:before="0" w:after="80" w:line="312" w:lineRule="auto"/>
      </w:pPr>
      <w:r>
        <w:rPr>
          <w:rFonts w:ascii="Arial" w:hAnsi="Arial" w:cs="Arial" w:eastAsia="Arial"/>
          <w:color w:val="5A6478"/>
          <w:sz w:val="17"/>
          <w:szCs w:val="17"/>
        </w:rPr>
        <w:t>* Number of Units as at the dividend distribution date was 85,188,808 Units.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9" name="Picture 9051"/>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PERFORMANCE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BENCHMARK</w:t>
            </w:r>
          </w:p>
        </w:tc>
        <w:tc>
          <w:tcPr>
            <w:tcW w:type="dxa" w:w="6860"/>
          </w:tcPr>
          <w:p>
            <w:pPr>
              <w:spacing w:before="0" w:after="0" w:line="276" w:lineRule="auto"/>
            </w:pPr>
            <w:r>
              <w:rPr>
                <w:rFonts w:ascii="Arial" w:hAnsi="Arial" w:cs="Arial" w:eastAsia="Arial"/>
                <w:b/>
                <w:bCs/>
                <w:color w:val="0E1E3A"/>
                <w:sz w:val="18"/>
                <w:szCs w:val="18"/>
              </w:rPr>
              <w:t>Alkhabeer Global Equity Index</w:t>
            </w:r>
          </w:p>
        </w:tc>
      </w:tr>
      <w:tr>
        <w:tc>
          <w:tcPr>
            <w:tcW w:type="dxa" w:w="3118"/>
            <w:shd w:val="clear" w:color="auto" w:fill="F3F6FB"/>
          </w:tcPr>
          <w:p>
            <w:pPr>
              <w:spacing w:before="0" w:after="0" w:line="276" w:lineRule="auto"/>
            </w:pPr>
            <w:r>
              <w:rPr>
                <w:rFonts w:ascii="Arial" w:hAnsi="Arial" w:cs="Arial" w:eastAsia="Arial"/>
                <w:color w:val="5A6478"/>
                <w:sz w:val="18"/>
                <w:szCs w:val="18"/>
              </w:rPr>
              <w:t>INITIAL UNIT PRICE (AT THE INITIAL OFFERING)</w:t>
            </w:r>
          </w:p>
        </w:tc>
        <w:tc>
          <w:tcPr>
            <w:tcW w:type="dxa" w:w="6860"/>
          </w:tcPr>
          <w:p>
            <w:pPr>
              <w:spacing w:before="0" w:after="0" w:line="276" w:lineRule="auto"/>
            </w:pPr>
            <w:r>
              <w:rPr>
                <w:rFonts w:ascii="Arial" w:hAnsi="Arial" w:cs="Arial" w:eastAsia="Arial"/>
                <w:b/>
                <w:bCs/>
                <w:color w:val="0E1E3A"/>
                <w:sz w:val="18"/>
                <w:szCs w:val="18"/>
              </w:rPr>
              <w:t>SAR 10</w:t>
            </w:r>
          </w:p>
        </w:tc>
      </w:tr>
      <w:tr>
        <w:tc>
          <w:tcPr>
            <w:tcW w:type="dxa" w:w="3118"/>
            <w:shd w:val="clear" w:color="auto" w:fill="F3F6FB"/>
          </w:tcPr>
          <w:p>
            <w:pPr>
              <w:spacing w:before="0" w:after="0" w:line="276" w:lineRule="auto"/>
            </w:pPr>
            <w:r>
              <w:rPr>
                <w:rFonts w:ascii="Arial" w:hAnsi="Arial" w:cs="Arial" w:eastAsia="Arial"/>
                <w:color w:val="5A6478"/>
                <w:sz w:val="18"/>
                <w:szCs w:val="18"/>
              </w:rPr>
              <w:t>NET FUND TOTAL RETURN SINCE THE DATE OF INCEPTION</w:t>
            </w:r>
          </w:p>
        </w:tc>
        <w:tc>
          <w:tcPr>
            <w:tcW w:type="dxa" w:w="6860"/>
          </w:tcPr>
          <w:p>
            <w:pPr>
              <w:spacing w:before="0" w:after="0" w:line="276" w:lineRule="auto"/>
            </w:pPr>
            <w:r>
              <w:rPr>
                <w:rFonts w:ascii="Arial" w:hAnsi="Arial" w:cs="Arial" w:eastAsia="Arial"/>
                <w:b/>
                <w:bCs/>
                <w:color w:val="0E1E3A"/>
                <w:sz w:val="18"/>
                <w:szCs w:val="18"/>
              </w:rPr>
              <w:t>11.71%</w:t>
            </w:r>
          </w:p>
        </w:tc>
      </w:tr>
      <w:tr>
        <w:tc>
          <w:tcPr>
            <w:tcW w:type="dxa" w:w="3118"/>
            <w:shd w:val="clear" w:color="auto" w:fill="F3F6FB"/>
          </w:tcPr>
          <w:p>
            <w:pPr>
              <w:spacing w:before="0" w:after="0" w:line="276" w:lineRule="auto"/>
            </w:pPr>
            <w:r>
              <w:rPr>
                <w:rFonts w:ascii="Arial" w:hAnsi="Arial" w:cs="Arial" w:eastAsia="Arial"/>
                <w:color w:val="5A6478"/>
                <w:sz w:val="18"/>
                <w:szCs w:val="18"/>
              </w:rPr>
              <w:t>P/E RATIO (LAST TWELVE MONTHS)</w:t>
            </w:r>
          </w:p>
        </w:tc>
        <w:tc>
          <w:tcPr>
            <w:tcW w:type="dxa" w:w="6860"/>
          </w:tcPr>
          <w:p>
            <w:pPr>
              <w:spacing w:before="0" w:after="0" w:line="276" w:lineRule="auto"/>
            </w:pPr>
            <w:r>
              <w:rPr>
                <w:rFonts w:ascii="Arial" w:hAnsi="Arial" w:cs="Arial" w:eastAsia="Arial"/>
                <w:b/>
                <w:bCs/>
                <w:color w:val="0E1E3A"/>
                <w:sz w:val="18"/>
                <w:szCs w:val="18"/>
              </w:rPr>
              <w:t>19.00</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0" name="Picture 905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DESCRIPTION OF THE FUND’S BENCHMARK</w:t>
      </w:r>
    </w:p>
    <w:p>
      <w:pPr>
        <w:spacing w:before="0" w:after="80" w:line="312" w:lineRule="auto"/>
      </w:pPr>
      <w:r>
        <w:rPr>
          <w:rFonts w:ascii="Arial" w:hAnsi="Arial" w:cs="Arial" w:eastAsia="Arial"/>
          <w:color w:val="0E1E3A"/>
          <w:sz w:val="20"/>
          <w:szCs w:val="20"/>
        </w:rPr>
        <w:t>Alkhabeer Global Equity Index is an index especially created for the Fund in collaboration with the Index Service Provider, who will calculate the valuations of the companies that are included in the Index and will manage the Index on behalf of the Fund. The Index includes companies which are diversified by sector and size in the largest global capital markets, as well as the largest leading companies in the Kingdom of Saudi Arabia. The companies will be filtered based on a market value exceeding US $ 100 million, and a trade value exceeding US $ 1 million per day. The Index includes 160 global companies representing the largest global capital markets, in addition to the largest 10 listed companies on the Saudi Stock Exchange, compliant with the guidelines of the Shari’a Supervisory Committee. The global companies included in the index are divided by market cap into three categories: the largest 70 in terms of market value of free float shares among large market cap companies, the largest 50 companies in terms of market value of free float shares among medium market cap companies, and the largest 40 companies in terms of market value of free float shares among small market cap companies.</w:t>
      </w:r>
    </w:p>
    <w:p>
      <w:pPr>
        <w:spacing w:before="0" w:after="80" w:line="312" w:lineRule="auto"/>
      </w:pPr>
      <w:r>
        <w:rPr>
          <w:rFonts w:ascii="Arial" w:hAnsi="Arial" w:cs="Arial" w:eastAsia="Arial"/>
          <w:color w:val="0E1E3A"/>
          <w:sz w:val="20"/>
          <w:szCs w:val="20"/>
        </w:rPr>
        <w:t>Large market cap companies are defined as companies representing the largest market capitalization. It is the segment which represents up to 70% of the aggregate capitalization of the market combined, while the medium cap segment represents more than 70% up to 85% of the aggregate market capitalization, and the small cap represents more than 85% up to 100% of the aggregate market capitalization.</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1" name="Picture 9053"/>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ASSESSMENT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spacing w:before="0" w:after="0" w:line="264" w:lineRule="auto"/>
            </w:pPr>
          </w:p>
        </w:tc>
        <w:tc>
          <w:tcPr>
            <w:tcW w:type="dxa" w:w="3326"/>
            <w:shd w:val="clear" w:color="auto" w:fill="12284B"/>
          </w:tcPr>
          <w:p>
            <w:pPr>
              <w:spacing w:before="0" w:after="0" w:line="264" w:lineRule="auto"/>
            </w:pPr>
            <w:r>
              <w:rPr>
                <w:rFonts w:ascii="Arial" w:hAnsi="Arial" w:cs="Arial" w:eastAsia="Arial"/>
                <w:b/>
                <w:bCs/>
                <w:color w:val="FFFFFF"/>
                <w:sz w:val="17"/>
                <w:szCs w:val="17"/>
              </w:rPr>
              <w:t>ALKHABEER GROWTH AND INCOME TRADED FUND</w:t>
            </w:r>
          </w:p>
        </w:tc>
        <w:tc>
          <w:tcPr>
            <w:tcW w:type="dxa" w:w="3326"/>
            <w:shd w:val="clear" w:color="auto" w:fill="12284B"/>
          </w:tcPr>
          <w:p>
            <w:pPr>
              <w:spacing w:before="0" w:after="0" w:line="264" w:lineRule="auto"/>
            </w:pPr>
            <w:r>
              <w:rPr>
                <w:rFonts w:ascii="Arial" w:hAnsi="Arial" w:cs="Arial" w:eastAsia="Arial"/>
                <w:b/>
                <w:bCs/>
                <w:color w:val="FFFFFF"/>
                <w:sz w:val="17"/>
                <w:szCs w:val="17"/>
              </w:rPr>
              <w:t>ALKHABEER GLOBAL EQUITY INDEX</w:t>
            </w:r>
          </w:p>
        </w:tc>
      </w:tr>
      <w:tr>
        <w:tc>
          <w:tcPr>
            <w:tcW w:type="dxa" w:w="3326"/>
          </w:tcPr>
          <w:p>
            <w:pPr>
              <w:spacing w:before="0" w:after="0" w:line="264" w:lineRule="auto"/>
            </w:pPr>
            <w:r>
              <w:rPr>
                <w:rFonts w:ascii="Arial" w:hAnsi="Arial" w:cs="Arial" w:eastAsia="Arial"/>
                <w:color w:val="0E1E3A"/>
                <w:sz w:val="17"/>
                <w:szCs w:val="17"/>
              </w:rPr>
              <w:t>NET ASSET VALUE PER UNIT AS AT THE BEGINNING OF THE PERIOD</w:t>
            </w:r>
          </w:p>
        </w:tc>
        <w:tc>
          <w:tcPr>
            <w:tcW w:type="dxa" w:w="3326"/>
          </w:tcPr>
          <w:p>
            <w:pPr>
              <w:spacing w:before="0" w:after="0" w:line="264" w:lineRule="auto"/>
            </w:pPr>
            <w:r>
              <w:rPr>
                <w:rFonts w:ascii="Arial" w:hAnsi="Arial" w:cs="Arial" w:eastAsia="Arial"/>
                <w:color w:val="0E1E3A"/>
                <w:sz w:val="17"/>
                <w:szCs w:val="17"/>
              </w:rPr>
              <w:t>SAR 11.0865</w:t>
            </w:r>
          </w:p>
        </w:tc>
        <w:tc>
          <w:tcPr>
            <w:tcW w:type="dxa" w:w="3326"/>
          </w:tcPr>
          <w:p>
            <w:pPr>
              <w:spacing w:before="0" w:after="0" w:line="264" w:lineRule="auto"/>
            </w:pPr>
            <w:r>
              <w:rPr>
                <w:rFonts w:ascii="Arial" w:hAnsi="Arial" w:cs="Arial" w:eastAsia="Arial"/>
                <w:color w:val="0E1E3A"/>
                <w:sz w:val="17"/>
                <w:szCs w:val="17"/>
              </w:rPr>
              <w:t>103.35161</w:t>
            </w:r>
          </w:p>
        </w:tc>
      </w:tr>
      <w:tr>
        <w:tc>
          <w:tcPr>
            <w:tcW w:type="dxa" w:w="3326"/>
          </w:tcPr>
          <w:p>
            <w:pPr>
              <w:spacing w:before="0" w:after="0" w:line="264" w:lineRule="auto"/>
            </w:pPr>
            <w:r>
              <w:rPr>
                <w:rFonts w:ascii="Arial" w:hAnsi="Arial" w:cs="Arial" w:eastAsia="Arial"/>
                <w:color w:val="0E1E3A"/>
                <w:sz w:val="17"/>
                <w:szCs w:val="17"/>
              </w:rPr>
              <w:t>NET ASSET VALUE PER UNIT AS AT THE END OF THE PERIOD</w:t>
            </w:r>
          </w:p>
        </w:tc>
        <w:tc>
          <w:tcPr>
            <w:tcW w:type="dxa" w:w="3326"/>
          </w:tcPr>
          <w:p>
            <w:pPr>
              <w:spacing w:before="0" w:after="0" w:line="264" w:lineRule="auto"/>
            </w:pPr>
            <w:r>
              <w:rPr>
                <w:rFonts w:ascii="Arial" w:hAnsi="Arial" w:cs="Arial" w:eastAsia="Arial"/>
                <w:color w:val="0E1E3A"/>
                <w:sz w:val="17"/>
                <w:szCs w:val="17"/>
              </w:rPr>
              <w:t>SAR 10.2411*</w:t>
            </w:r>
          </w:p>
        </w:tc>
        <w:tc>
          <w:tcPr>
            <w:tcW w:type="dxa" w:w="3326"/>
          </w:tcPr>
          <w:p>
            <w:pPr>
              <w:spacing w:before="0" w:after="0" w:line="264" w:lineRule="auto"/>
            </w:pPr>
            <w:r>
              <w:rPr>
                <w:rFonts w:ascii="Arial" w:hAnsi="Arial" w:cs="Arial" w:eastAsia="Arial"/>
                <w:color w:val="0E1E3A"/>
                <w:sz w:val="17"/>
                <w:szCs w:val="17"/>
              </w:rPr>
              <w:t>99.3959</w:t>
            </w:r>
          </w:p>
        </w:tc>
      </w:tr>
      <w:tr>
        <w:tc>
          <w:tcPr>
            <w:tcW w:type="dxa" w:w="3326"/>
          </w:tcPr>
          <w:p>
            <w:pPr>
              <w:spacing w:before="0" w:after="0" w:line="264" w:lineRule="auto"/>
            </w:pPr>
            <w:r>
              <w:rPr>
                <w:rFonts w:ascii="Arial" w:hAnsi="Arial" w:cs="Arial" w:eastAsia="Arial"/>
                <w:color w:val="0E1E3A"/>
                <w:sz w:val="17"/>
                <w:szCs w:val="17"/>
              </w:rPr>
              <w:t>UNIT PERFORMANCE</w:t>
            </w:r>
          </w:p>
        </w:tc>
        <w:tc>
          <w:tcPr>
            <w:tcW w:type="dxa" w:w="3326"/>
          </w:tcPr>
          <w:p>
            <w:pPr>
              <w:spacing w:before="0" w:after="0" w:line="264" w:lineRule="auto"/>
            </w:pPr>
            <w:r>
              <w:rPr>
                <w:rFonts w:ascii="Arial" w:hAnsi="Arial" w:cs="Arial" w:eastAsia="Arial"/>
                <w:color w:val="0E1E3A"/>
                <w:sz w:val="17"/>
                <w:szCs w:val="17"/>
              </w:rPr>
              <w:t>-7.63%*</w:t>
            </w:r>
          </w:p>
        </w:tc>
        <w:tc>
          <w:tcPr>
            <w:tcW w:type="dxa" w:w="3326"/>
          </w:tcPr>
          <w:p>
            <w:pPr>
              <w:spacing w:before="0" w:after="0" w:line="264" w:lineRule="auto"/>
            </w:pPr>
            <w:r>
              <w:rPr>
                <w:rFonts w:ascii="Arial" w:hAnsi="Arial" w:cs="Arial" w:eastAsia="Arial"/>
                <w:color w:val="0E1E3A"/>
                <w:sz w:val="17"/>
                <w:szCs w:val="17"/>
              </w:rPr>
              <w:t>-3.83%</w:t>
            </w:r>
          </w:p>
        </w:tc>
      </w:tr>
    </w:tbl>
    <w:p>
      <w:pPr>
        <w:spacing w:before="0" w:after="40" w:line="300" w:lineRule="auto"/>
      </w:pPr>
    </w:p>
    <w:p>
      <w:pPr>
        <w:spacing w:before="0" w:after="80" w:line="312" w:lineRule="auto"/>
      </w:pPr>
      <w:r>
        <w:rPr>
          <w:rFonts w:ascii="Arial" w:hAnsi="Arial" w:cs="Arial" w:eastAsia="Arial"/>
          <w:color w:val="5A6478"/>
          <w:sz w:val="17"/>
          <w:szCs w:val="17"/>
        </w:rPr>
        <w:t>*Note that part of the change in the net unit value is due to the fund manager making cash distributions during the period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2" name="Picture 905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OWNERSHIP OF FUND INVESTMENTS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spacing w:before="0" w:after="0" w:line="264" w:lineRule="auto"/>
            </w:pPr>
            <w:r>
              <w:rPr>
                <w:rFonts w:ascii="Arial" w:hAnsi="Arial" w:cs="Arial" w:eastAsia="Arial"/>
                <w:b/>
                <w:bCs/>
                <w:color w:val="FFFFFF"/>
                <w:sz w:val="17"/>
                <w:szCs w:val="17"/>
              </w:rPr>
              <w:t>OWNERSHIP</w:t>
            </w:r>
          </w:p>
        </w:tc>
        <w:tc>
          <w:tcPr>
            <w:tcW w:type="dxa" w:w="4989"/>
            <w:shd w:val="clear" w:color="auto" w:fill="12284B"/>
          </w:tcPr>
          <w:p>
            <w:pPr>
              <w:spacing w:before="0" w:after="0" w:line="264" w:lineRule="auto"/>
            </w:pPr>
            <w:r>
              <w:rPr>
                <w:rFonts w:ascii="Arial" w:hAnsi="Arial" w:cs="Arial" w:eastAsia="Arial"/>
                <w:b/>
                <w:bCs/>
                <w:color w:val="FFFFFF"/>
                <w:sz w:val="17"/>
                <w:szCs w:val="17"/>
              </w:rPr>
              <w:t>PERCENTAGE (%)</w:t>
            </w:r>
          </w:p>
        </w:tc>
      </w:tr>
      <w:tr>
        <w:tc>
          <w:tcPr>
            <w:tcW w:type="dxa" w:w="4989"/>
          </w:tcPr>
          <w:p>
            <w:pPr>
              <w:spacing w:before="0" w:after="0" w:line="264" w:lineRule="auto"/>
            </w:pPr>
            <w:r>
              <w:rPr>
                <w:rFonts w:ascii="Arial" w:hAnsi="Arial" w:cs="Arial" w:eastAsia="Arial"/>
                <w:color w:val="0E1E3A"/>
                <w:sz w:val="17"/>
                <w:szCs w:val="17"/>
              </w:rPr>
              <w:t>FREEHOLD</w:t>
            </w:r>
          </w:p>
        </w:tc>
        <w:tc>
          <w:tcPr>
            <w:tcW w:type="dxa" w:w="4989"/>
          </w:tcPr>
          <w:p>
            <w:pPr>
              <w:spacing w:before="0" w:after="0" w:line="264" w:lineRule="auto"/>
            </w:pPr>
            <w:r>
              <w:rPr>
                <w:rFonts w:ascii="Arial" w:hAnsi="Arial" w:cs="Arial" w:eastAsia="Arial"/>
                <w:color w:val="0E1E3A"/>
                <w:sz w:val="17"/>
                <w:szCs w:val="17"/>
              </w:rPr>
              <w:t>100%</w:t>
            </w:r>
          </w:p>
        </w:tc>
      </w:tr>
      <w:tr>
        <w:tc>
          <w:tcPr>
            <w:tcW w:type="dxa" w:w="4989"/>
          </w:tcPr>
          <w:p>
            <w:pPr>
              <w:spacing w:before="0" w:after="0" w:line="264" w:lineRule="auto"/>
            </w:pPr>
            <w:r>
              <w:rPr>
                <w:rFonts w:ascii="Arial" w:hAnsi="Arial" w:cs="Arial" w:eastAsia="Arial"/>
                <w:color w:val="0E1E3A"/>
                <w:sz w:val="17"/>
                <w:szCs w:val="17"/>
              </w:rPr>
              <w:t>LEASEHOLD</w:t>
            </w:r>
          </w:p>
        </w:tc>
        <w:tc>
          <w:tcPr>
            <w:tcW w:type="dxa" w:w="4989"/>
          </w:tcPr>
          <w:p>
            <w:pPr>
              <w:spacing w:before="0" w:after="0" w:line="264" w:lineRule="auto"/>
            </w:pPr>
            <w:r>
              <w:rPr>
                <w:rFonts w:ascii="Arial" w:hAnsi="Arial" w:cs="Arial" w:eastAsia="Arial"/>
                <w:color w:val="0E1E3A"/>
                <w:sz w:val="17"/>
                <w:szCs w:val="17"/>
              </w:rPr>
              <w:t>0%</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3" name="Picture 9055"/>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RETURNS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ITEM</w:t>
            </w:r>
          </w:p>
        </w:tc>
        <w:tc>
          <w:tcPr>
            <w:tcW w:type="dxa" w:w="1663"/>
            <w:shd w:val="clear" w:color="auto" w:fill="12284B"/>
          </w:tcPr>
          <w:p>
            <w:pPr>
              <w:spacing w:before="0" w:after="0" w:line="264" w:lineRule="auto"/>
            </w:pPr>
            <w:r>
              <w:rPr>
                <w:rFonts w:ascii="Arial" w:hAnsi="Arial" w:cs="Arial" w:eastAsia="Arial"/>
                <w:b/>
                <w:bCs/>
                <w:color w:val="FFFFFF"/>
                <w:sz w:val="17"/>
                <w:szCs w:val="17"/>
              </w:rPr>
              <w:t>REPORTING QUARTER**</w:t>
            </w:r>
          </w:p>
        </w:tc>
        <w:tc>
          <w:tcPr>
            <w:tcW w:type="dxa" w:w="1663"/>
            <w:shd w:val="clear" w:color="auto" w:fill="12284B"/>
          </w:tcPr>
          <w:p>
            <w:pPr>
              <w:spacing w:before="0" w:after="0" w:line="264" w:lineRule="auto"/>
            </w:pPr>
            <w:r>
              <w:rPr>
                <w:rFonts w:ascii="Arial" w:hAnsi="Arial" w:cs="Arial" w:eastAsia="Arial"/>
                <w:b/>
                <w:bCs/>
                <w:color w:val="FFFFFF"/>
                <w:sz w:val="17"/>
                <w:szCs w:val="17"/>
              </w:rPr>
              <w:t>YEAR TO DATE*** (YTD)</w:t>
            </w:r>
          </w:p>
        </w:tc>
        <w:tc>
          <w:tcPr>
            <w:tcW w:type="dxa" w:w="1663"/>
            <w:shd w:val="clear" w:color="auto" w:fill="12284B"/>
          </w:tcPr>
          <w:p>
            <w:pPr>
              <w:spacing w:before="0" w:after="0" w:line="264" w:lineRule="auto"/>
            </w:pPr>
            <w:r>
              <w:rPr>
                <w:rFonts w:ascii="Arial" w:hAnsi="Arial" w:cs="Arial" w:eastAsia="Arial"/>
                <w:b/>
                <w:bCs/>
                <w:color w:val="FFFFFF"/>
                <w:sz w:val="17"/>
                <w:szCs w:val="17"/>
              </w:rPr>
              <w:t>ONE YEAR****</w:t>
            </w:r>
          </w:p>
        </w:tc>
        <w:tc>
          <w:tcPr>
            <w:tcW w:type="dxa" w:w="1663"/>
            <w:shd w:val="clear" w:color="auto" w:fill="12284B"/>
          </w:tcPr>
          <w:p>
            <w:pPr>
              <w:spacing w:before="0" w:after="0" w:line="264" w:lineRule="auto"/>
            </w:pPr>
            <w:r>
              <w:rPr>
                <w:rFonts w:ascii="Arial" w:hAnsi="Arial" w:cs="Arial" w:eastAsia="Arial"/>
                <w:b/>
                <w:bCs/>
                <w:color w:val="FFFFFF"/>
                <w:sz w:val="17"/>
                <w:szCs w:val="17"/>
              </w:rPr>
              <w:t>3 YEARS</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TOTAL RETURN TO NET ASSET VALUE PER UNIT (FUND PERFORMANCE)*</w:t>
            </w:r>
          </w:p>
        </w:tc>
        <w:tc>
          <w:tcPr>
            <w:tcW w:type="dxa" w:w="1663"/>
          </w:tcPr>
          <w:p>
            <w:pPr>
              <w:spacing w:before="0" w:after="0" w:line="264" w:lineRule="auto"/>
            </w:pPr>
            <w:r>
              <w:rPr>
                <w:rFonts w:ascii="Arial" w:hAnsi="Arial" w:cs="Arial" w:eastAsia="Arial"/>
                <w:color w:val="0E1E3A"/>
                <w:sz w:val="17"/>
                <w:szCs w:val="17"/>
              </w:rPr>
              <w:t>0.82%</w:t>
            </w:r>
          </w:p>
        </w:tc>
        <w:tc>
          <w:tcPr>
            <w:tcW w:type="dxa" w:w="1663"/>
          </w:tcPr>
          <w:p>
            <w:pPr>
              <w:spacing w:before="0" w:after="0" w:line="264" w:lineRule="auto"/>
            </w:pPr>
            <w:r>
              <w:rPr>
                <w:rFonts w:ascii="Arial" w:hAnsi="Arial" w:cs="Arial" w:eastAsia="Arial"/>
                <w:color w:val="0E1E3A"/>
                <w:sz w:val="17"/>
                <w:szCs w:val="17"/>
              </w:rPr>
              <w:t>18.39%</w:t>
            </w:r>
          </w:p>
        </w:tc>
        <w:tc>
          <w:tcPr>
            <w:tcW w:type="dxa" w:w="1663"/>
          </w:tcPr>
          <w:p>
            <w:pPr>
              <w:spacing w:before="0" w:after="0" w:line="264" w:lineRule="auto"/>
            </w:pPr>
            <w:r>
              <w:rPr>
                <w:rFonts w:ascii="Arial" w:hAnsi="Arial" w:cs="Arial" w:eastAsia="Arial"/>
                <w:color w:val="0E1E3A"/>
                <w:sz w:val="17"/>
                <w:szCs w:val="17"/>
              </w:rPr>
              <w:t>27.45%</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BENCHMARK PERFORMANCE</w:t>
            </w:r>
          </w:p>
        </w:tc>
        <w:tc>
          <w:tcPr>
            <w:tcW w:type="dxa" w:w="1663"/>
          </w:tcPr>
          <w:p>
            <w:pPr>
              <w:spacing w:before="0" w:after="0" w:line="264" w:lineRule="auto"/>
            </w:pPr>
            <w:r>
              <w:rPr>
                <w:rFonts w:ascii="Arial" w:hAnsi="Arial" w:cs="Arial" w:eastAsia="Arial"/>
                <w:color w:val="0E1E3A"/>
                <w:sz w:val="17"/>
                <w:szCs w:val="17"/>
              </w:rPr>
              <w:t>-3.83%</w:t>
            </w:r>
          </w:p>
        </w:tc>
        <w:tc>
          <w:tcPr>
            <w:tcW w:type="dxa" w:w="1663"/>
          </w:tcPr>
          <w:p>
            <w:pPr>
              <w:spacing w:before="0" w:after="0" w:line="264" w:lineRule="auto"/>
            </w:pPr>
            <w:r>
              <w:rPr>
                <w:rFonts w:ascii="Arial" w:hAnsi="Arial" w:cs="Arial" w:eastAsia="Arial"/>
                <w:color w:val="0E1E3A"/>
                <w:sz w:val="17"/>
                <w:szCs w:val="17"/>
              </w:rPr>
              <w:t>11.98%</w:t>
            </w:r>
          </w:p>
        </w:tc>
        <w:tc>
          <w:tcPr>
            <w:tcW w:type="dxa" w:w="1663"/>
          </w:tcPr>
          <w:p>
            <w:pPr>
              <w:spacing w:before="0" w:after="0" w:line="264" w:lineRule="auto"/>
            </w:pPr>
            <w:r>
              <w:rPr>
                <w:rFonts w:ascii="Arial" w:hAnsi="Arial" w:cs="Arial" w:eastAsia="Arial"/>
                <w:color w:val="0E1E3A"/>
                <w:sz w:val="17"/>
                <w:szCs w:val="17"/>
              </w:rPr>
              <w:t>21.70%</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PERFORMANCE SPREAD</w:t>
            </w:r>
          </w:p>
        </w:tc>
        <w:tc>
          <w:tcPr>
            <w:tcW w:type="dxa" w:w="1663"/>
          </w:tcPr>
          <w:p>
            <w:pPr>
              <w:spacing w:before="0" w:after="0" w:line="264" w:lineRule="auto"/>
            </w:pPr>
            <w:r>
              <w:rPr>
                <w:rFonts w:ascii="Arial" w:hAnsi="Arial" w:cs="Arial" w:eastAsia="Arial"/>
                <w:color w:val="0E1E3A"/>
                <w:sz w:val="17"/>
                <w:szCs w:val="17"/>
              </w:rPr>
              <w:t>4.65%</w:t>
            </w:r>
          </w:p>
        </w:tc>
        <w:tc>
          <w:tcPr>
            <w:tcW w:type="dxa" w:w="1663"/>
          </w:tcPr>
          <w:p>
            <w:pPr>
              <w:spacing w:before="0" w:after="0" w:line="264" w:lineRule="auto"/>
            </w:pPr>
            <w:r>
              <w:rPr>
                <w:rFonts w:ascii="Arial" w:hAnsi="Arial" w:cs="Arial" w:eastAsia="Arial"/>
                <w:color w:val="0E1E3A"/>
                <w:sz w:val="17"/>
                <w:szCs w:val="17"/>
              </w:rPr>
              <w:t>6.41%</w:t>
            </w:r>
          </w:p>
        </w:tc>
        <w:tc>
          <w:tcPr>
            <w:tcW w:type="dxa" w:w="1663"/>
          </w:tcPr>
          <w:p>
            <w:pPr>
              <w:spacing w:before="0" w:after="0" w:line="264" w:lineRule="auto"/>
            </w:pPr>
            <w:r>
              <w:rPr>
                <w:rFonts w:ascii="Arial" w:hAnsi="Arial" w:cs="Arial" w:eastAsia="Arial"/>
                <w:color w:val="0E1E3A"/>
                <w:sz w:val="17"/>
                <w:szCs w:val="17"/>
              </w:rPr>
              <w:t>5.75%</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spacing w:before="0" w:after="80" w:line="312" w:lineRule="auto"/>
      </w:pPr>
      <w:r>
        <w:rPr>
          <w:rFonts w:ascii="Arial" w:hAnsi="Arial" w:cs="Arial" w:eastAsia="Arial"/>
          <w:color w:val="5A6478"/>
          <w:sz w:val="17"/>
          <w:szCs w:val="17"/>
        </w:rPr>
        <w:t>* Total return = unit price performance plus distributed dividends (if any).</w:t>
      </w:r>
      <w:r>
        <w:br/>
      </w:r>
      <w:r>
        <w:rPr>
          <w:rFonts w:ascii="Arial" w:hAnsi="Arial" w:cs="Arial" w:eastAsia="Arial"/>
          <w:color w:val="5A6478"/>
          <w:sz w:val="17"/>
          <w:szCs w:val="17"/>
        </w:rPr>
        <w:t>** For the period from 30 June 2023 to 30 September 2023, including cash dividends of SAR 0.93.</w:t>
      </w:r>
      <w:r>
        <w:br/>
      </w:r>
      <w:r>
        <w:rPr>
          <w:rFonts w:ascii="Arial" w:hAnsi="Arial" w:cs="Arial" w:eastAsia="Arial"/>
          <w:color w:val="5A6478"/>
          <w:sz w:val="17"/>
          <w:szCs w:val="17"/>
        </w:rPr>
        <w:t>*** For the period from 31 December 2022 to 30 September 2023, including cash dividends of SAR 0.93.</w:t>
      </w:r>
      <w:r>
        <w:br/>
      </w:r>
      <w:r>
        <w:rPr>
          <w:rFonts w:ascii="Arial" w:hAnsi="Arial" w:cs="Arial" w:eastAsia="Arial"/>
          <w:color w:val="5A6478"/>
          <w:sz w:val="17"/>
          <w:szCs w:val="17"/>
        </w:rPr>
        <w:t>**** For the period from 30 September 2022 to 30 September 2023, including cash dividends of SAR 0.93.</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4" name="Picture 9056"/>
            <wp:cNvGraphicFramePr>
              <a:graphicFrameLocks noChangeAspect="1"/>
            </wp:cNvGraphicFramePr>
            <a:graphic>
              <a:graphicData uri="http://schemas.openxmlformats.org/drawingml/2006/picture">
                <pic:pic>
                  <pic:nvPicPr>
                    <pic:cNvPr id="0" name="ico_47bcec02f49b9d1a764a57a70a5c831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AND RISKS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PERFORMANCE AND RISKS CRITERIA</w:t>
            </w:r>
          </w:p>
        </w:tc>
        <w:tc>
          <w:tcPr>
            <w:tcW w:type="dxa" w:w="1663"/>
            <w:shd w:val="clear" w:color="auto" w:fill="12284B"/>
          </w:tcPr>
          <w:p>
            <w:pPr>
              <w:spacing w:before="0" w:after="0" w:line="264" w:lineRule="auto"/>
            </w:pPr>
            <w:r>
              <w:rPr>
                <w:rFonts w:ascii="Arial" w:hAnsi="Arial" w:cs="Arial" w:eastAsia="Arial"/>
                <w:b/>
                <w:bCs/>
                <w:color w:val="FFFFFF"/>
                <w:sz w:val="17"/>
                <w:szCs w:val="17"/>
              </w:rPr>
              <w:t>REPORTING QUARTER</w:t>
            </w:r>
          </w:p>
        </w:tc>
        <w:tc>
          <w:tcPr>
            <w:tcW w:type="dxa" w:w="1663"/>
            <w:shd w:val="clear" w:color="auto" w:fill="12284B"/>
          </w:tcPr>
          <w:p>
            <w:pPr>
              <w:spacing w:before="0" w:after="0" w:line="264" w:lineRule="auto"/>
            </w:pPr>
            <w:r>
              <w:rPr>
                <w:rFonts w:ascii="Arial" w:hAnsi="Arial" w:cs="Arial" w:eastAsia="Arial"/>
                <w:b/>
                <w:bCs/>
                <w:color w:val="FFFFFF"/>
                <w:sz w:val="17"/>
                <w:szCs w:val="17"/>
              </w:rPr>
              <w:t>YEAR TO DATE (YTD)</w:t>
            </w:r>
          </w:p>
        </w:tc>
        <w:tc>
          <w:tcPr>
            <w:tcW w:type="dxa" w:w="1663"/>
            <w:shd w:val="clear" w:color="auto" w:fill="12284B"/>
          </w:tcPr>
          <w:p>
            <w:pPr>
              <w:spacing w:before="0" w:after="0" w:line="264" w:lineRule="auto"/>
            </w:pPr>
            <w:r>
              <w:rPr>
                <w:rFonts w:ascii="Arial" w:hAnsi="Arial" w:cs="Arial" w:eastAsia="Arial"/>
                <w:b/>
                <w:bCs/>
                <w:color w:val="FFFFFF"/>
                <w:sz w:val="17"/>
                <w:szCs w:val="17"/>
              </w:rPr>
              <w:t>ONE YEAR</w:t>
            </w:r>
          </w:p>
        </w:tc>
        <w:tc>
          <w:tcPr>
            <w:tcW w:type="dxa" w:w="1663"/>
            <w:shd w:val="clear" w:color="auto" w:fill="12284B"/>
          </w:tcPr>
          <w:p>
            <w:pPr>
              <w:spacing w:before="0" w:after="0" w:line="264" w:lineRule="auto"/>
            </w:pPr>
            <w:r>
              <w:rPr>
                <w:rFonts w:ascii="Arial" w:hAnsi="Arial" w:cs="Arial" w:eastAsia="Arial"/>
                <w:b/>
                <w:bCs/>
                <w:color w:val="FFFFFF"/>
                <w:sz w:val="17"/>
                <w:szCs w:val="17"/>
              </w:rPr>
              <w:t>3 YEARS</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STANDARD DEVIATION1</w:t>
            </w:r>
          </w:p>
        </w:tc>
        <w:tc>
          <w:tcPr>
            <w:tcW w:type="dxa" w:w="1663"/>
          </w:tcPr>
          <w:p>
            <w:pPr>
              <w:spacing w:before="0" w:after="0" w:line="264" w:lineRule="auto"/>
            </w:pPr>
            <w:r>
              <w:rPr>
                <w:rFonts w:ascii="Arial" w:hAnsi="Arial" w:cs="Arial" w:eastAsia="Arial"/>
                <w:color w:val="0E1E3A"/>
                <w:sz w:val="17"/>
                <w:szCs w:val="17"/>
              </w:rPr>
              <w:t>4.58</w:t>
            </w:r>
          </w:p>
        </w:tc>
        <w:tc>
          <w:tcPr>
            <w:tcW w:type="dxa" w:w="1663"/>
          </w:tcPr>
          <w:p>
            <w:pPr>
              <w:spacing w:before="0" w:after="0" w:line="264" w:lineRule="auto"/>
            </w:pPr>
            <w:r>
              <w:rPr>
                <w:rFonts w:ascii="Arial" w:hAnsi="Arial" w:cs="Arial" w:eastAsia="Arial"/>
                <w:color w:val="0E1E3A"/>
                <w:sz w:val="17"/>
                <w:szCs w:val="17"/>
              </w:rPr>
              <w:t>9.00</w:t>
            </w:r>
          </w:p>
        </w:tc>
        <w:tc>
          <w:tcPr>
            <w:tcW w:type="dxa" w:w="1663"/>
          </w:tcPr>
          <w:p>
            <w:pPr>
              <w:spacing w:before="0" w:after="0" w:line="264" w:lineRule="auto"/>
            </w:pPr>
            <w:r>
              <w:rPr>
                <w:rFonts w:ascii="Arial" w:hAnsi="Arial" w:cs="Arial" w:eastAsia="Arial"/>
                <w:color w:val="0E1E3A"/>
                <w:sz w:val="17"/>
                <w:szCs w:val="17"/>
              </w:rPr>
              <w:t>13.36</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SHARPE RATIO2</w:t>
            </w:r>
          </w:p>
        </w:tc>
        <w:tc>
          <w:tcPr>
            <w:tcW w:type="dxa" w:w="1663"/>
          </w:tcPr>
          <w:p>
            <w:pPr>
              <w:spacing w:before="0" w:after="0" w:line="264" w:lineRule="auto"/>
            </w:pPr>
            <w:r>
              <w:rPr>
                <w:rFonts w:ascii="Arial" w:hAnsi="Arial" w:cs="Arial" w:eastAsia="Arial"/>
                <w:color w:val="0E1E3A"/>
                <w:sz w:val="17"/>
                <w:szCs w:val="17"/>
              </w:rPr>
              <w:t>-1.03</w:t>
            </w:r>
          </w:p>
        </w:tc>
        <w:tc>
          <w:tcPr>
            <w:tcW w:type="dxa" w:w="1663"/>
          </w:tcPr>
          <w:p>
            <w:pPr>
              <w:spacing w:before="0" w:after="0" w:line="264" w:lineRule="auto"/>
            </w:pPr>
            <w:r>
              <w:rPr>
                <w:rFonts w:ascii="Arial" w:hAnsi="Arial" w:cs="Arial" w:eastAsia="Arial"/>
                <w:color w:val="0E1E3A"/>
                <w:sz w:val="17"/>
                <w:szCs w:val="17"/>
              </w:rPr>
              <w:t>1.49</w:t>
            </w:r>
          </w:p>
        </w:tc>
        <w:tc>
          <w:tcPr>
            <w:tcW w:type="dxa" w:w="1663"/>
          </w:tcPr>
          <w:p>
            <w:pPr>
              <w:spacing w:before="0" w:after="0" w:line="264" w:lineRule="auto"/>
            </w:pPr>
            <w:r>
              <w:rPr>
                <w:rFonts w:ascii="Arial" w:hAnsi="Arial" w:cs="Arial" w:eastAsia="Arial"/>
                <w:color w:val="0E1E3A"/>
                <w:sz w:val="17"/>
                <w:szCs w:val="17"/>
              </w:rPr>
              <w:t>1.84</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TRACKING ERROR3</w:t>
            </w:r>
          </w:p>
        </w:tc>
        <w:tc>
          <w:tcPr>
            <w:tcW w:type="dxa" w:w="1663"/>
          </w:tcPr>
          <w:p>
            <w:pPr>
              <w:spacing w:before="0" w:after="0" w:line="264" w:lineRule="auto"/>
            </w:pPr>
            <w:r>
              <w:rPr>
                <w:rFonts w:ascii="Arial" w:hAnsi="Arial" w:cs="Arial" w:eastAsia="Arial"/>
                <w:color w:val="0E1E3A"/>
                <w:sz w:val="17"/>
                <w:szCs w:val="17"/>
              </w:rPr>
              <w:t>2.46</w:t>
            </w:r>
          </w:p>
        </w:tc>
        <w:tc>
          <w:tcPr>
            <w:tcW w:type="dxa" w:w="1663"/>
          </w:tcPr>
          <w:p>
            <w:pPr>
              <w:spacing w:before="0" w:after="0" w:line="264" w:lineRule="auto"/>
            </w:pPr>
            <w:r>
              <w:rPr>
                <w:rFonts w:ascii="Arial" w:hAnsi="Arial" w:cs="Arial" w:eastAsia="Arial"/>
                <w:color w:val="0E1E3A"/>
                <w:sz w:val="17"/>
                <w:szCs w:val="17"/>
              </w:rPr>
              <w:t>6.85</w:t>
            </w:r>
          </w:p>
        </w:tc>
        <w:tc>
          <w:tcPr>
            <w:tcW w:type="dxa" w:w="1663"/>
          </w:tcPr>
          <w:p>
            <w:pPr>
              <w:spacing w:before="0" w:after="0" w:line="264" w:lineRule="auto"/>
            </w:pPr>
            <w:r>
              <w:rPr>
                <w:rFonts w:ascii="Arial" w:hAnsi="Arial" w:cs="Arial" w:eastAsia="Arial"/>
                <w:color w:val="0E1E3A"/>
                <w:sz w:val="17"/>
                <w:szCs w:val="17"/>
              </w:rPr>
              <w:t>9.86</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BETA4</w:t>
            </w:r>
          </w:p>
        </w:tc>
        <w:tc>
          <w:tcPr>
            <w:tcW w:type="dxa" w:w="1663"/>
          </w:tcPr>
          <w:p>
            <w:pPr>
              <w:spacing w:before="0" w:after="0" w:line="264" w:lineRule="auto"/>
            </w:pPr>
            <w:r>
              <w:rPr>
                <w:rFonts w:ascii="Arial" w:hAnsi="Arial" w:cs="Arial" w:eastAsia="Arial"/>
                <w:color w:val="0E1E3A"/>
                <w:sz w:val="17"/>
                <w:szCs w:val="17"/>
              </w:rPr>
              <w:t>0.77</w:t>
            </w:r>
          </w:p>
        </w:tc>
        <w:tc>
          <w:tcPr>
            <w:tcW w:type="dxa" w:w="1663"/>
          </w:tcPr>
          <w:p>
            <w:pPr>
              <w:spacing w:before="0" w:after="0" w:line="264" w:lineRule="auto"/>
            </w:pPr>
            <w:r>
              <w:rPr>
                <w:rFonts w:ascii="Arial" w:hAnsi="Arial" w:cs="Arial" w:eastAsia="Arial"/>
                <w:color w:val="0E1E3A"/>
                <w:sz w:val="17"/>
                <w:szCs w:val="17"/>
              </w:rPr>
              <w:t>0.67</w:t>
            </w:r>
          </w:p>
        </w:tc>
        <w:tc>
          <w:tcPr>
            <w:tcW w:type="dxa" w:w="1663"/>
          </w:tcPr>
          <w:p>
            <w:pPr>
              <w:spacing w:before="0" w:after="0" w:line="264" w:lineRule="auto"/>
            </w:pPr>
            <w:r>
              <w:rPr>
                <w:rFonts w:ascii="Arial" w:hAnsi="Arial" w:cs="Arial" w:eastAsia="Arial"/>
                <w:color w:val="0E1E3A"/>
                <w:sz w:val="17"/>
                <w:szCs w:val="17"/>
              </w:rPr>
              <w:t>0.69</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ALPHA5</w:t>
            </w:r>
          </w:p>
        </w:tc>
        <w:tc>
          <w:tcPr>
            <w:tcW w:type="dxa" w:w="1663"/>
          </w:tcPr>
          <w:p>
            <w:pPr>
              <w:spacing w:before="0" w:after="0" w:line="264" w:lineRule="auto"/>
            </w:pPr>
            <w:r>
              <w:rPr>
                <w:rFonts w:ascii="Arial" w:hAnsi="Arial" w:cs="Arial" w:eastAsia="Arial"/>
                <w:color w:val="0E1E3A"/>
                <w:sz w:val="17"/>
                <w:szCs w:val="17"/>
              </w:rPr>
              <w:t>4.63</w:t>
            </w:r>
          </w:p>
        </w:tc>
        <w:tc>
          <w:tcPr>
            <w:tcW w:type="dxa" w:w="1663"/>
          </w:tcPr>
          <w:p>
            <w:pPr>
              <w:spacing w:before="0" w:after="0" w:line="264" w:lineRule="auto"/>
            </w:pPr>
            <w:r>
              <w:rPr>
                <w:rFonts w:ascii="Arial" w:hAnsi="Arial" w:cs="Arial" w:eastAsia="Arial"/>
                <w:color w:val="0E1E3A"/>
                <w:sz w:val="17"/>
                <w:szCs w:val="17"/>
              </w:rPr>
              <w:t>5.41</w:t>
            </w:r>
          </w:p>
        </w:tc>
        <w:tc>
          <w:tcPr>
            <w:tcW w:type="dxa" w:w="1663"/>
          </w:tcPr>
          <w:p>
            <w:pPr>
              <w:spacing w:before="0" w:after="0" w:line="264" w:lineRule="auto"/>
            </w:pPr>
            <w:r>
              <w:rPr>
                <w:rFonts w:ascii="Arial" w:hAnsi="Arial" w:cs="Arial" w:eastAsia="Arial"/>
                <w:color w:val="0E1E3A"/>
                <w:sz w:val="17"/>
                <w:szCs w:val="17"/>
              </w:rPr>
              <w:t>4.36</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INFORMATION RATIO6</w:t>
            </w:r>
          </w:p>
        </w:tc>
        <w:tc>
          <w:tcPr>
            <w:tcW w:type="dxa" w:w="1663"/>
          </w:tcPr>
          <w:p>
            <w:pPr>
              <w:spacing w:before="0" w:after="0" w:line="264" w:lineRule="auto"/>
            </w:pPr>
            <w:r>
              <w:rPr>
                <w:rFonts w:ascii="Arial" w:hAnsi="Arial" w:cs="Arial" w:eastAsia="Arial"/>
                <w:color w:val="0E1E3A"/>
                <w:sz w:val="17"/>
                <w:szCs w:val="17"/>
              </w:rPr>
              <w:t>1.88</w:t>
            </w:r>
          </w:p>
        </w:tc>
        <w:tc>
          <w:tcPr>
            <w:tcW w:type="dxa" w:w="1663"/>
          </w:tcPr>
          <w:p>
            <w:pPr>
              <w:spacing w:before="0" w:after="0" w:line="264" w:lineRule="auto"/>
            </w:pPr>
            <w:r>
              <w:rPr>
                <w:rFonts w:ascii="Arial" w:hAnsi="Arial" w:cs="Arial" w:eastAsia="Arial"/>
                <w:color w:val="0E1E3A"/>
                <w:sz w:val="17"/>
                <w:szCs w:val="17"/>
              </w:rPr>
              <w:t>0.79</w:t>
            </w:r>
          </w:p>
        </w:tc>
        <w:tc>
          <w:tcPr>
            <w:tcW w:type="dxa" w:w="1663"/>
          </w:tcPr>
          <w:p>
            <w:pPr>
              <w:spacing w:before="0" w:after="0" w:line="264" w:lineRule="auto"/>
            </w:pPr>
            <w:r>
              <w:rPr>
                <w:rFonts w:ascii="Arial" w:hAnsi="Arial" w:cs="Arial" w:eastAsia="Arial"/>
                <w:color w:val="0E1E3A"/>
                <w:sz w:val="17"/>
                <w:szCs w:val="17"/>
              </w:rPr>
              <w:t>0.44</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spacing w:before="0" w:after="80" w:line="312" w:lineRule="auto"/>
      </w:pPr>
      <w:r>
        <w:rPr>
          <w:rFonts w:ascii="Arial" w:hAnsi="Arial" w:cs="Arial" w:eastAsia="Arial"/>
          <w:color w:val="5A6478"/>
          <w:sz w:val="17"/>
          <w:szCs w:val="17"/>
        </w:rPr>
        <w:t>1. Standard Deviation is a measure of risk. It is calculated as any volatility in returns over a period of time. The lower the volatility, the more homogeneous the set of returns.</w:t>
      </w:r>
      <w:r>
        <w:br/>
      </w:r>
      <w:r>
        <w:rPr>
          <w:rFonts w:ascii="Arial" w:hAnsi="Arial" w:cs="Arial" w:eastAsia="Arial"/>
          <w:color w:val="5A6478"/>
          <w:sz w:val="17"/>
          <w:szCs w:val="17"/>
        </w:rPr>
        <w:t>2. Sharpe Ratio is a risk-adjusted performance measure. It is calculated as the difference of the Fund Manager excess return over the risk-free rate, divided by the Standard Deviation. The greater a portfolio's Sharpe Ratio, the better its risk-adjusted performance.</w:t>
      </w:r>
      <w:r>
        <w:br/>
      </w:r>
      <w:r>
        <w:rPr>
          <w:rFonts w:ascii="Arial" w:hAnsi="Arial" w:cs="Arial" w:eastAsia="Arial"/>
          <w:color w:val="5A6478"/>
          <w:sz w:val="17"/>
          <w:szCs w:val="17"/>
        </w:rPr>
        <w:t>3. Tracking Error is a measure of risks. It is calculated as the Standard Deviation between the Fund Manager's return and the Benchmark's return. The lower the Tracking Error, the lower the Fund Manager deviates from the Benchmark.</w:t>
      </w:r>
      <w:r>
        <w:br/>
      </w:r>
      <w:r>
        <w:rPr>
          <w:rFonts w:ascii="Arial" w:hAnsi="Arial" w:cs="Arial" w:eastAsia="Arial"/>
          <w:color w:val="5A6478"/>
          <w:sz w:val="17"/>
          <w:szCs w:val="17"/>
        </w:rPr>
        <w:t>4. Beta is a measure of the average historical sensitivity of the Fund's returns compared to market returns. It is calculated by using the covariance of the Fund and the market on the variance of the market.</w:t>
      </w:r>
      <w:r>
        <w:br/>
      </w:r>
      <w:r>
        <w:rPr>
          <w:rFonts w:ascii="Arial" w:hAnsi="Arial" w:cs="Arial" w:eastAsia="Arial"/>
          <w:color w:val="5A6478"/>
          <w:sz w:val="17"/>
          <w:szCs w:val="17"/>
        </w:rPr>
        <w:t>5. Alpha measures any excess return achieved by the Fund compared to the performance of the index.</w:t>
      </w:r>
      <w:r>
        <w:br/>
      </w:r>
      <w:r>
        <w:rPr>
          <w:rFonts w:ascii="Arial" w:hAnsi="Arial" w:cs="Arial" w:eastAsia="Arial"/>
          <w:color w:val="5A6478"/>
          <w:sz w:val="17"/>
          <w:szCs w:val="17"/>
        </w:rPr>
        <w:t>6. Information Ratio is a risk-adjusted performance measure. It is calculated as the active return of the Fund Manager, divided by its tracking error. The higher the Information ratio, the higher the Fund Manager ability to generate excess returns per Unit of excess risk. The performance and risk parameters were calculated based on the Unit's net value.</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5" name="Picture 9057"/>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HIGHLIGHTS AND ANY FUNDAMENTAL OR NON-FUNDAMENTAL CHANGES AFFECTING THE PERFORMANCE OF THE FUND</w:t>
      </w:r>
    </w:p>
    <w:p>
      <w:pPr>
        <w:spacing w:before="0" w:after="80" w:line="312" w:lineRule="auto"/>
      </w:pPr>
      <w:r>
        <w:rPr>
          <w:rFonts w:ascii="Arial" w:hAnsi="Arial" w:cs="Arial" w:eastAsia="Arial"/>
          <w:color w:val="0E1E3A"/>
          <w:sz w:val="20"/>
          <w:szCs w:val="20"/>
        </w:rPr>
        <w:t>In the general assembly meeting held on 19 July 2023, the unitholders approved the Buyback for Cancellation of Units of up to 50% of the total existing units.</w:t>
      </w:r>
    </w:p>
    <w:p>
      <w:pPr>
        <w:spacing w:before="0" w:after="80" w:line="312" w:lineRule="auto"/>
      </w:pPr>
      <w:r>
        <w:rPr>
          <w:rFonts w:ascii="Arial" w:hAnsi="Arial" w:cs="Arial" w:eastAsia="Arial"/>
          <w:color w:val="0E1E3A"/>
          <w:sz w:val="20"/>
          <w:szCs w:val="20"/>
        </w:rPr>
        <w:t>As of 28 Sep 2023, the Fund Manager has successfully bought back 24,371,111 units of the Fund amounting to 24.37% of the total number of units.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6" name="Picture 9058"/>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OVERVIEW OF GLOBAL MARKETS</w:t>
      </w:r>
    </w:p>
    <w:p>
      <w:pPr>
        <w:spacing w:before="0" w:after="80" w:line="312" w:lineRule="auto"/>
      </w:pPr>
      <w:r>
        <w:rPr>
          <w:rFonts w:ascii="Arial" w:hAnsi="Arial" w:cs="Arial" w:eastAsia="Arial"/>
          <w:color w:val="0E1E3A"/>
          <w:sz w:val="20"/>
          <w:szCs w:val="20"/>
        </w:rPr>
        <w:t>Global equity markets had a mixed performance in Q3 2023, following strong gains in the first half of the year. This was mostly on account of concerns about the slowdown in the global economy, interest rates, increasing oil prices, persisting inflation, fragile recovery in supply chain and a stronger dollar. The US FED held the interest rates steady in its Sep 2023 meeting and maintained a hawkish stance acknowledging that there was still work to be done to lower inflation to their target levels.</w:t>
      </w:r>
    </w:p>
    <w:p>
      <w:pPr>
        <w:spacing w:before="0" w:after="80" w:line="312" w:lineRule="auto"/>
      </w:pPr>
      <w:r>
        <w:rPr>
          <w:rFonts w:ascii="Arial" w:hAnsi="Arial" w:cs="Arial" w:eastAsia="Arial"/>
          <w:color w:val="0E1E3A"/>
          <w:sz w:val="20"/>
          <w:szCs w:val="20"/>
        </w:rPr>
        <w:t>Going forward, steady growth of profits, interest rates, inflation and consumer spending will be the key influencers of the equity market. According to the IMF, global GDP is expected to grow by 3% in 2023 and 2024. Although this growth is favorable, it remains weak in historical terms and is restricted by the tightening of macroeconomic policy necessary to control inflation, with the global inflation rate expected to reach 6.8% in 2023 and 5.2% in 2024.</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7" name="Picture 9059"/>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NET UNIT VALUE PERFORMANCE COMPARED TO THE BENCHMARK SINCE THE INCEPTION OF THE FUND</w:t>
      </w:r>
    </w:p>
    <w:p>
      <w:pPr>
        <w:spacing w:before="0" w:after="80" w:line="240" w:lineRule="auto"/>
        <w:jc w:val="center"/>
      </w:pPr>
      <w:r>
        <w:drawing>
          <wp:inline xmlns:a="http://schemas.openxmlformats.org/drawingml/2006/main" xmlns:pic="http://schemas.openxmlformats.org/drawingml/2006/picture">
            <wp:extent cx="6336000" cy="3072864"/>
            <wp:docPr id="28" name="Picture 9060"/>
            <wp:cNvGraphicFramePr>
              <a:graphicFrameLocks noChangeAspect="1"/>
            </wp:cNvGraphicFramePr>
            <a:graphic>
              <a:graphicData uri="http://schemas.openxmlformats.org/drawingml/2006/picture">
                <pic:pic>
                  <pic:nvPicPr>
                    <pic:cNvPr id="0" name="x7.j.jpg"/>
                    <pic:cNvPicPr/>
                  </pic:nvPicPr>
                  <pic:blipFill>
                    <a:blip r:embed="rId24"/>
                    <a:stretch>
                      <a:fillRect/>
                    </a:stretch>
                  </pic:blipFill>
                  <pic:spPr>
                    <a:xfrm>
                      <a:off x="0" y="0"/>
                      <a:ext cx="6336000" cy="3072864"/>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9" name="Picture 9061"/>
            <wp:cNvGraphicFramePr>
              <a:graphicFrameLocks noChangeAspect="1"/>
            </wp:cNvGraphicFramePr>
            <a:graphic>
              <a:graphicData uri="http://schemas.openxmlformats.org/drawingml/2006/picture">
                <pic:pic>
                  <pic:nvPicPr>
                    <pic:cNvPr id="0" name="ico_8eba3796ad497c7a142d47da7c90fea0.png"/>
                    <pic:cNvPicPr/>
                  </pic:nvPicPr>
                  <pic:blipFill>
                    <a:blip r:embed="rId2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FOR FURTHER INFORMATION</w:t>
      </w:r>
    </w:p>
    <w:p>
      <w:pPr>
        <w:spacing w:before="0" w:after="80" w:line="312" w:lineRule="auto"/>
      </w:pPr>
      <w:r>
        <w:rPr>
          <w:rFonts w:ascii="Arial" w:hAnsi="Arial" w:cs="Arial" w:eastAsia="Arial"/>
          <w:color w:val="0E1E3A"/>
          <w:sz w:val="20"/>
          <w:szCs w:val="20"/>
        </w:rPr>
        <w:t>Alkhabeer Capital</w:t>
      </w:r>
      <w:r>
        <w:br/>
      </w:r>
      <w:r>
        <w:rPr>
          <w:rFonts w:ascii="Arial" w:hAnsi="Arial" w:cs="Arial" w:eastAsia="Arial"/>
          <w:color w:val="0E1E3A"/>
          <w:sz w:val="20"/>
          <w:szCs w:val="20"/>
        </w:rPr>
        <w:t>PO Box 128289, Jeddah 21362</w:t>
      </w:r>
      <w:r>
        <w:br/>
      </w:r>
      <w:r>
        <w:rPr>
          <w:rFonts w:ascii="Arial" w:hAnsi="Arial" w:cs="Arial" w:eastAsia="Arial"/>
          <w:color w:val="0E1E3A"/>
          <w:sz w:val="20"/>
          <w:szCs w:val="20"/>
        </w:rPr>
        <w:t>Kingdom of Saudi Arabia</w:t>
      </w:r>
      <w:r>
        <w:br/>
      </w:r>
      <w:r>
        <w:rPr>
          <w:rFonts w:ascii="Arial" w:hAnsi="Arial" w:cs="Arial" w:eastAsia="Arial"/>
          <w:color w:val="0E1E3A"/>
          <w:sz w:val="20"/>
          <w:szCs w:val="20"/>
        </w:rPr>
        <w:t xml:space="preserve">Tel: </w:t>
      </w:r>
      <w:r>
        <w:rPr>
          <w:rFonts w:ascii="Arial" w:hAnsi="Arial" w:cs="Arial" w:eastAsia="Arial"/>
          <w:color w:val="0E1E3A"/>
          <w:sz w:val="20"/>
          <w:szCs w:val="20"/>
        </w:rPr>
        <w:t>+966 12 658 8888</w:t>
      </w:r>
      <w:r>
        <w:br/>
      </w:r>
      <w:r>
        <w:rPr>
          <w:rFonts w:ascii="Arial" w:hAnsi="Arial" w:cs="Arial" w:eastAsia="Arial"/>
          <w:color w:val="0E1E3A"/>
          <w:sz w:val="20"/>
          <w:szCs w:val="20"/>
        </w:rPr>
        <w:t xml:space="preserve">Fax: </w:t>
      </w:r>
      <w:r>
        <w:rPr>
          <w:rFonts w:ascii="Arial" w:hAnsi="Arial" w:cs="Arial" w:eastAsia="Arial"/>
          <w:color w:val="0E1E3A"/>
          <w:sz w:val="20"/>
          <w:szCs w:val="20"/>
        </w:rPr>
        <w:t>+966 12 658 6663</w:t>
      </w:r>
      <w:r>
        <w:br/>
      </w:r>
      <w:r>
        <w:rPr>
          <w:rFonts w:ascii="Arial" w:hAnsi="Arial" w:cs="Arial" w:eastAsia="Arial"/>
          <w:color w:val="0E1E3A"/>
          <w:sz w:val="20"/>
          <w:szCs w:val="20"/>
        </w:rPr>
        <w:t>Email: info@alkhabeer.com</w:t>
      </w:r>
      <w:r>
        <w:br/>
      </w:r>
      <w:r>
        <w:rPr>
          <w:rFonts w:ascii="Arial" w:hAnsi="Arial" w:cs="Arial" w:eastAsia="Arial"/>
          <w:color w:val="0E1E3A"/>
          <w:sz w:val="20"/>
          <w:szCs w:val="20"/>
        </w:rPr>
        <w:t>CR No: 4030177445</w:t>
      </w:r>
      <w:r>
        <w:br/>
      </w:r>
      <w:r>
        <w:rPr>
          <w:rFonts w:ascii="Arial" w:hAnsi="Arial" w:cs="Arial" w:eastAsia="Arial"/>
          <w:color w:val="0E1E3A"/>
          <w:sz w:val="20"/>
          <w:szCs w:val="20"/>
        </w:rPr>
        <w:t>CMA License No: 07074-37</w:t>
      </w:r>
      <w:r>
        <w:br/>
      </w:r>
      <w:r>
        <w:rPr>
          <w:rFonts w:ascii="Arial" w:hAnsi="Arial" w:cs="Arial" w:eastAsia="Arial"/>
          <w:color w:val="0E1E3A"/>
          <w:sz w:val="20"/>
          <w:szCs w:val="20"/>
        </w:rPr>
        <w:t>www.alkhabeer.com</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30" name="Picture 9062"/>
            <wp:cNvGraphicFramePr>
              <a:graphicFrameLocks noChangeAspect="1"/>
            </wp:cNvGraphicFramePr>
            <a:graphic>
              <a:graphicData uri="http://schemas.openxmlformats.org/drawingml/2006/picture">
                <pic:pic>
                  <pic:nvPicPr>
                    <pic:cNvPr id="0" name="ico_31799530e5dd3dc5b4ca7f2d37945432.png"/>
                    <pic:cNvPicPr/>
                  </pic:nvPicPr>
                  <pic:blipFill>
                    <a:blip r:embed="rId26"/>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DISCLAIMER</w:t>
      </w:r>
    </w:p>
    <w:p>
      <w:pPr>
        <w:spacing w:before="0" w:after="80" w:line="312" w:lineRule="auto"/>
      </w:pPr>
      <w:r>
        <w:rPr>
          <w:rFonts w:ascii="Arial" w:hAnsi="Arial" w:cs="Arial" w:eastAsia="Arial"/>
          <w:color w:val="5A6478"/>
          <w:sz w:val="17"/>
          <w:szCs w:val="17"/>
        </w:rPr>
        <w:t>This document does not constitute an offer to buy, subscribe or participate in any way in Alkhabeer Growth and Income Traded Fund, nor shall it (or any part of it) form the basis of, or be relied on, in connection with, or act as inducement to enter into any contract whatsoever. Prospective investors should read carefully Alkhabeer Growth and Income Traded Fund’s Terms and Conditions and their contents related to investment risks, as well as other Alkhabeer Growth and Income Traded Fund documents prior to making any investment decision. Alkhabeer Growth and Income Traded Fund documents are available on Alkhabeer Capital’s website www.alkhabeer.com. This investment is not a cash deposit with a local bank. The value of the amount invested and any other income which may arise therefrom may increase or decrease. All prospective investors are required to make their own determination with their own financial and legal advisors and to evaluate all risks involved. No assurance can be given that the targeted and projected results will be achieved. Moreover, past performance of Alkhabeer Growth and Income Traded Fund is not a guarantee of the Fund’s future results. By investing in the Fund, the investor acknowledges having read and accepted Alkhabeer Growth and Income Traded Fund’s Terms and Conditions, The Fund Manager or any of its affiliates shall not be liable for any financial loss which may be suffered by the Fund, unless such loss is deliberately caused by the Fund Manager.</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spacing w:before="0" w:after="0" w:line="240" w:lineRule="auto"/>
    </w:pPr>
    <w:r/>
    <w:r>
      <w:rPr>
        <w:rFonts w:ascii="Arial" w:hAnsi="Arial" w:cs="Arial" w:eastAsia="Arial"/>
        <w:color w:val="5A6478"/>
        <w:sz w:val="15"/>
        <w:szCs w:val="15"/>
      </w:rPr>
      <w:t>Quarterly Statement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Arial" w:hAnsi="Arial" w:cs="Arial" w:eastAsia="Arial"/>
      <w:b/>
      <w:bCs/>
      <w:color w:val="12284B"/>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rial" w:hAnsi="Arial" w:cs="Arial" w:eastAsia="Arial"/>
      <w:b/>
      <w:bCs/>
      <w:color w:val="12284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Arial" w:hAnsi="Arial" w:cs="Arial" w:eastAsia="Arial"/>
      <w:b/>
      <w:bCs/>
      <w:color w:val="1228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png"/><Relationship Id="rId21" Type="http://schemas.openxmlformats.org/officeDocument/2006/relationships/image" Target="media/image9.jp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jpg"/><Relationship Id="rId25" Type="http://schemas.openxmlformats.org/officeDocument/2006/relationships/image" Target="media/image13.png"/><Relationship Id="rId26"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Alkhabeer Growth &amp; Income Fund — Quarterly Statement Q3 2023</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