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5"/>
            <wp:cNvGraphicFramePr/>
            <a:graphic>
              <a:graphicData uri="http://schemas.openxmlformats.org/drawingml/2006/picture">
                <pic:pic>
                  <pic:nvPicPr>
                    <pic:cNvPr id="9035" name="banner9035.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6"/>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للنمو والدخل المتداول"، هو صندوق استثمار أسهم عام، متداول، مغلق، متوافق مع ضوابط الهيئة الشرعية، تم إنشاؤه بموجب الأنظمة واللوائح المعمول بها في المملكة العربية السعودية، ويخضع لرقابة وإشراف هيئة السوق المالية. ويتمثل الهدف الاستثماري للصندوق في تنمية صافي قيمة أصول الصندوق من خلال أداء استثماراته على المدى الطويل، وتحقيق دخل دوري للمستثمرين من خلال توزيع عوائد الشركات التي يستثمر بها الصندوق، بالإضافة إلى جزء من الأرباح الرأس مالية الناتجة عن نمو القيمة السوقية للأوراق المالية المستثمر بها. حيث يتم ذلك عن طريق الاستثمار في محفظة متنوعة من الأسهم العالمية، وصناديق الأسهم العامة والخاصة، وطروحات الشركات للاكتتاب العام، والطروحات الخاصة والنقد وما في حكمه.</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AKGRINF AB EQUITY</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11.9375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834,620,405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عند التأسيس</w:t>
            </w:r>
          </w:p>
        </w:tc>
        <w:tc>
          <w:tcPr>
            <w:tcW w:type="dxa" w:w="6860"/>
          </w:tcPr>
          <w:p>
            <w:pPr>
              <w:bidi w:val="1"/>
              <w:spacing w:before="0" w:after="0" w:line="276" w:lineRule="auto"/>
            </w:pPr>
            <w:r>
              <w:rPr>
                <w:rFonts w:ascii="Arial" w:hAnsi="Arial" w:cs="Arial" w:eastAsia="Arial"/>
                <w:b/>
                <w:bCs/>
                <w:color w:val="0E1E3A"/>
                <w:sz w:val="18"/>
                <w:szCs w:val="18"/>
                <w:rtl/>
              </w:rPr>
              <w:t>مليار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الاقتراض *</w:t>
            </w:r>
          </w:p>
        </w:tc>
        <w:tc>
          <w:tcPr>
            <w:tcW w:type="dxa" w:w="6860"/>
          </w:tcPr>
          <w:p>
            <w:pPr>
              <w:bidi w:val="1"/>
              <w:spacing w:before="0" w:after="0" w:line="276" w:lineRule="auto"/>
            </w:pPr>
            <w:r>
              <w:rPr>
                <w:rFonts w:ascii="Arial" w:hAnsi="Arial" w:cs="Arial" w:eastAsia="Arial"/>
                <w:b/>
                <w:bCs/>
                <w:color w:val="0E1E3A"/>
                <w:sz w:val="18"/>
                <w:szCs w:val="18"/>
                <w:rtl/>
              </w:rPr>
              <w:t>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‎0.06%‎</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سبمتبر 2024م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3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فئات الأصول في محفظة الصندوق</w:t>
      </w:r>
    </w:p>
    <w:p>
      <w:pPr>
        <w:bidi w:val="1"/>
        <w:spacing w:before="0" w:after="80" w:line="240" w:lineRule="auto"/>
        <w:jc w:val="center"/>
      </w:pPr>
      <w:r>
        <w:drawing>
          <wp:inline xmlns:a="http://schemas.openxmlformats.org/drawingml/2006/main" xmlns:pic="http://schemas.openxmlformats.org/drawingml/2006/picture">
            <wp:extent cx="6336000" cy="1883676"/>
            <wp:docPr id="5" name="Picture 9039"/>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يوميا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83 4,620,40 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tl/>
              </w:rPr>
              <w:t>832,246,524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مصاريف التعامل للربع المعني</w:t>
            </w:r>
          </w:p>
        </w:tc>
        <w:tc>
          <w:tcPr>
            <w:tcW w:type="dxa" w:w="6860"/>
          </w:tcPr>
          <w:p>
            <w:pPr>
              <w:bidi w:val="1"/>
              <w:spacing w:before="0" w:after="0" w:line="276" w:lineRule="auto"/>
            </w:pPr>
            <w:r>
              <w:rPr>
                <w:rFonts w:ascii="Arial" w:hAnsi="Arial" w:cs="Arial" w:eastAsia="Arial"/>
                <w:b/>
                <w:bCs/>
                <w:color w:val="0E1E3A"/>
                <w:sz w:val="18"/>
                <w:szCs w:val="18"/>
                <w:rtl/>
              </w:rPr>
              <w:t>69,895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مصاريف التعامل للربع المعني من متوسط صافي قيمة أصول الصندوق ****</w:t>
            </w:r>
          </w:p>
        </w:tc>
        <w:tc>
          <w:tcPr>
            <w:tcW w:type="dxa" w:w="6860"/>
          </w:tcPr>
          <w:p>
            <w:pPr>
              <w:bidi w:val="1"/>
              <w:spacing w:before="0" w:after="0" w:line="276" w:lineRule="auto"/>
            </w:pPr>
            <w:r>
              <w:rPr>
                <w:rFonts w:ascii="Arial" w:hAnsi="Arial" w:cs="Arial" w:eastAsia="Arial"/>
                <w:b/>
                <w:bCs/>
                <w:color w:val="0E1E3A"/>
                <w:sz w:val="18"/>
                <w:szCs w:val="18"/>
              </w:rPr>
              <w:t>‎0.01%‎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w:t>
            </w:r>
          </w:p>
        </w:tc>
        <w:tc>
          <w:tcPr>
            <w:tcW w:type="dxa" w:w="6860"/>
          </w:tcPr>
          <w:p>
            <w:pPr>
              <w:bidi w:val="1"/>
              <w:spacing w:before="0" w:after="0" w:line="276" w:lineRule="auto"/>
            </w:pPr>
            <w:r>
              <w:rPr>
                <w:rFonts w:ascii="Arial" w:hAnsi="Arial" w:cs="Arial" w:eastAsia="Arial"/>
                <w:b/>
                <w:bCs/>
                <w:color w:val="0E1E3A"/>
                <w:sz w:val="18"/>
                <w:szCs w:val="18"/>
              </w:rPr>
              <w:t>‎0.31%‎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2,652,568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من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‎0.31%‎</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30 سبتمبر 2024م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r>
        <w:br/>
      </w:r>
      <w:r>
        <w:rPr>
          <w:rFonts w:ascii="Arial" w:hAnsi="Arial" w:cs="Arial" w:eastAsia="Arial"/>
          <w:color w:val="5A6478"/>
          <w:sz w:val="17"/>
          <w:szCs w:val="17"/>
          <w:rtl/>
        </w:rPr>
        <w:t>**** متوسط صافي قيمة أصول الصندوق خلال الربع المعني 848,450,442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978811"/>
            <wp:docPr id="8" name="Picture 9042"/>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978811"/>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10 شركات في الأسهم العالمية والمحلية المدرجة</w:t>
      </w:r>
    </w:p>
    <w:p>
      <w:pPr>
        <w:bidi w:val="1"/>
        <w:spacing w:before="0" w:after="80" w:line="240" w:lineRule="auto"/>
        <w:jc w:val="center"/>
      </w:pPr>
      <w:r>
        <w:drawing>
          <wp:inline xmlns:a="http://schemas.openxmlformats.org/drawingml/2006/main" xmlns:pic="http://schemas.openxmlformats.org/drawingml/2006/picture">
            <wp:extent cx="6336000" cy="3015784"/>
            <wp:docPr id="10" name="Picture 9044"/>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15784"/>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أكبر قطاعات الشركات التي يستثمر فيها الصندوق</w:t>
      </w:r>
    </w:p>
    <w:p>
      <w:pPr>
        <w:bidi w:val="1"/>
        <w:spacing w:before="0" w:after="80" w:line="240" w:lineRule="auto"/>
        <w:jc w:val="center"/>
      </w:pPr>
      <w:r>
        <w:drawing>
          <wp:inline xmlns:a="http://schemas.openxmlformats.org/drawingml/2006/main" xmlns:pic="http://schemas.openxmlformats.org/drawingml/2006/picture">
            <wp:extent cx="6336000" cy="2758919"/>
            <wp:docPr id="12" name="Picture 9046"/>
            <wp:cNvGraphicFramePr>
              <a:graphicFrameLocks noChangeAspect="1"/>
            </wp:cNvGraphicFramePr>
            <a:graphic>
              <a:graphicData uri="http://schemas.openxmlformats.org/drawingml/2006/picture">
                <pic:pic>
                  <pic:nvPicPr>
                    <pic:cNvPr id="0" name="x5.j.jpg"/>
                    <pic:cNvPicPr/>
                  </pic:nvPicPr>
                  <pic:blipFill>
                    <a:blip r:embed="rId19"/>
                    <a:stretch>
                      <a:fillRect/>
                    </a:stretch>
                  </pic:blipFill>
                  <pic:spPr>
                    <a:xfrm>
                      <a:off x="0" y="0"/>
                      <a:ext cx="6336000" cy="2758919"/>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أسهم مدرجة</w:t>
            </w:r>
          </w:p>
        </w:tc>
        <w:tc>
          <w:tcPr>
            <w:tcW w:type="dxa" w:w="6860"/>
          </w:tcPr>
          <w:p>
            <w:pPr>
              <w:bidi w:val="1"/>
              <w:spacing w:before="0" w:after="0" w:line="276" w:lineRule="auto"/>
            </w:pPr>
            <w:r>
              <w:rPr>
                <w:rFonts w:ascii="Arial" w:hAnsi="Arial" w:cs="Arial" w:eastAsia="Arial"/>
                <w:b/>
                <w:bCs/>
                <w:color w:val="0E1E3A"/>
                <w:sz w:val="18"/>
                <w:szCs w:val="18"/>
                <w:rtl/>
              </w:rPr>
              <w:t>827,004,490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5,242,034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4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w:t>
      </w:r>
    </w:p>
    <w:p>
      <w:pPr>
        <w:bidi w:val="1"/>
        <w:spacing w:before="0" w:after="80" w:line="240" w:lineRule="auto"/>
        <w:jc w:val="center"/>
      </w:pPr>
      <w:r>
        <w:drawing>
          <wp:inline xmlns:a="http://schemas.openxmlformats.org/drawingml/2006/main" xmlns:pic="http://schemas.openxmlformats.org/drawingml/2006/picture">
            <wp:extent cx="6336000" cy="3082378"/>
            <wp:docPr id="15" name="Picture 9049"/>
            <wp:cNvGraphicFramePr>
              <a:graphicFrameLocks noChangeAspect="1"/>
            </wp:cNvGraphicFramePr>
            <a:graphic>
              <a:graphicData uri="http://schemas.openxmlformats.org/drawingml/2006/picture">
                <pic:pic>
                  <pic:nvPicPr>
                    <pic:cNvPr id="0" name="x6.j.jpg"/>
                    <pic:cNvPicPr/>
                  </pic:nvPicPr>
                  <pic:blipFill>
                    <a:blip r:embed="rId20"/>
                    <a:stretch>
                      <a:fillRect/>
                    </a:stretch>
                  </pic:blipFill>
                  <pic:spPr>
                    <a:xfrm>
                      <a:off x="0" y="0"/>
                      <a:ext cx="6336000" cy="3082378"/>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 (27 أبريل 2022م)</w:t>
            </w:r>
          </w:p>
        </w:tc>
        <w:tc>
          <w:tcPr>
            <w:tcW w:type="dxa" w:w="6860"/>
          </w:tcPr>
          <w:p>
            <w:pPr>
              <w:bidi w:val="1"/>
              <w:spacing w:before="0" w:after="0" w:line="276" w:lineRule="auto"/>
            </w:pPr>
            <w:r>
              <w:rPr>
                <w:rFonts w:ascii="Arial" w:hAnsi="Arial" w:cs="Arial" w:eastAsia="Arial"/>
                <w:b/>
                <w:bCs/>
                <w:color w:val="0E1E3A"/>
                <w:sz w:val="18"/>
                <w:szCs w:val="18"/>
                <w:rtl/>
              </w:rPr>
              <w:t>1,000,000,000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2022م</w:t>
            </w:r>
          </w:p>
        </w:tc>
        <w:tc>
          <w:tcPr>
            <w:tcW w:type="dxa" w:w="6860"/>
          </w:tcPr>
          <w:p>
            <w:pPr>
              <w:bidi w:val="1"/>
              <w:spacing w:before="0" w:after="0" w:line="276" w:lineRule="auto"/>
            </w:pPr>
            <w:r>
              <w:rPr>
                <w:rFonts w:ascii="Arial" w:hAnsi="Arial" w:cs="Arial" w:eastAsia="Arial"/>
                <w:b/>
                <w:bCs/>
                <w:color w:val="0E1E3A"/>
                <w:sz w:val="18"/>
                <w:szCs w:val="18"/>
                <w:rtl/>
              </w:rPr>
              <w:t>691,000,000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سبتمبر 2022م</w:t>
            </w:r>
          </w:p>
        </w:tc>
        <w:tc>
          <w:tcPr>
            <w:tcW w:type="dxa" w:w="6860"/>
          </w:tcPr>
          <w:p>
            <w:pPr>
              <w:bidi w:val="1"/>
              <w:spacing w:before="0" w:after="0" w:line="276" w:lineRule="auto"/>
            </w:pPr>
            <w:r>
              <w:rPr>
                <w:rFonts w:ascii="Arial" w:hAnsi="Arial" w:cs="Arial" w:eastAsia="Arial"/>
                <w:b/>
                <w:bCs/>
                <w:color w:val="0E1E3A"/>
                <w:sz w:val="18"/>
                <w:szCs w:val="18"/>
                <w:rtl/>
              </w:rPr>
              <w:t>617,000,000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29 ديسمبر 2022م</w:t>
            </w:r>
          </w:p>
        </w:tc>
        <w:tc>
          <w:tcPr>
            <w:tcW w:type="dxa" w:w="6860"/>
          </w:tcPr>
          <w:p>
            <w:pPr>
              <w:bidi w:val="1"/>
              <w:spacing w:before="0" w:after="0" w:line="276" w:lineRule="auto"/>
            </w:pPr>
            <w:r>
              <w:rPr>
                <w:rFonts w:ascii="Arial" w:hAnsi="Arial" w:cs="Arial" w:eastAsia="Arial"/>
                <w:b/>
                <w:bCs/>
                <w:color w:val="0E1E3A"/>
                <w:sz w:val="18"/>
                <w:szCs w:val="18"/>
                <w:rtl/>
              </w:rPr>
              <w:t>569,000,000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مارس 2023م</w:t>
            </w:r>
          </w:p>
        </w:tc>
        <w:tc>
          <w:tcPr>
            <w:tcW w:type="dxa" w:w="6860"/>
          </w:tcPr>
          <w:p>
            <w:pPr>
              <w:bidi w:val="1"/>
              <w:spacing w:before="0" w:after="0" w:line="276" w:lineRule="auto"/>
            </w:pPr>
            <w:r>
              <w:rPr>
                <w:rFonts w:ascii="Arial" w:hAnsi="Arial" w:cs="Arial" w:eastAsia="Arial"/>
                <w:b/>
                <w:bCs/>
                <w:color w:val="0E1E3A"/>
                <w:sz w:val="18"/>
                <w:szCs w:val="18"/>
                <w:rtl/>
              </w:rPr>
              <w:t>597,000,000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22 يونيو 2023م</w:t>
            </w:r>
          </w:p>
        </w:tc>
        <w:tc>
          <w:tcPr>
            <w:tcW w:type="dxa" w:w="6860"/>
          </w:tcPr>
          <w:p>
            <w:pPr>
              <w:bidi w:val="1"/>
              <w:spacing w:before="0" w:after="0" w:line="276" w:lineRule="auto"/>
            </w:pPr>
            <w:r>
              <w:rPr>
                <w:rFonts w:ascii="Arial" w:hAnsi="Arial" w:cs="Arial" w:eastAsia="Arial"/>
                <w:b/>
                <w:bCs/>
                <w:color w:val="0E1E3A"/>
                <w:sz w:val="18"/>
                <w:szCs w:val="18"/>
                <w:rtl/>
              </w:rPr>
              <w:t>811,000,000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28 سبتمبر 2023م *</w:t>
            </w:r>
          </w:p>
        </w:tc>
        <w:tc>
          <w:tcPr>
            <w:tcW w:type="dxa" w:w="6860"/>
          </w:tcPr>
          <w:p>
            <w:pPr>
              <w:bidi w:val="1"/>
              <w:spacing w:before="0" w:after="0" w:line="276" w:lineRule="auto"/>
            </w:pPr>
            <w:r>
              <w:rPr>
                <w:rFonts w:ascii="Arial" w:hAnsi="Arial" w:cs="Arial" w:eastAsia="Arial"/>
                <w:b/>
                <w:bCs/>
                <w:color w:val="0E1E3A"/>
                <w:sz w:val="18"/>
                <w:szCs w:val="18"/>
                <w:rtl/>
              </w:rPr>
              <w:t>654,189,890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ديسمبر 2023م **</w:t>
            </w:r>
          </w:p>
        </w:tc>
        <w:tc>
          <w:tcPr>
            <w:tcW w:type="dxa" w:w="6860"/>
          </w:tcPr>
          <w:p>
            <w:pPr>
              <w:bidi w:val="1"/>
              <w:spacing w:before="0" w:after="0" w:line="276" w:lineRule="auto"/>
            </w:pPr>
            <w:r>
              <w:rPr>
                <w:rFonts w:ascii="Arial" w:hAnsi="Arial" w:cs="Arial" w:eastAsia="Arial"/>
                <w:b/>
                <w:bCs/>
                <w:color w:val="0E1E3A"/>
                <w:sz w:val="18"/>
                <w:szCs w:val="18"/>
                <w:rtl/>
              </w:rPr>
              <w:t>633,808,698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31 مارس 2024م ***</w:t>
            </w:r>
          </w:p>
        </w:tc>
        <w:tc>
          <w:tcPr>
            <w:tcW w:type="dxa" w:w="6860"/>
          </w:tcPr>
          <w:p>
            <w:pPr>
              <w:bidi w:val="1"/>
              <w:spacing w:before="0" w:after="0" w:line="276" w:lineRule="auto"/>
            </w:pPr>
            <w:r>
              <w:rPr>
                <w:rFonts w:ascii="Arial" w:hAnsi="Arial" w:cs="Arial" w:eastAsia="Arial"/>
                <w:b/>
                <w:bCs/>
                <w:color w:val="0E1E3A"/>
                <w:sz w:val="18"/>
                <w:szCs w:val="18"/>
                <w:rtl/>
              </w:rPr>
              <w:t>642,402,714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يونيو 2024م ****</w:t>
            </w:r>
          </w:p>
        </w:tc>
        <w:tc>
          <w:tcPr>
            <w:tcW w:type="dxa" w:w="6860"/>
          </w:tcPr>
          <w:p>
            <w:pPr>
              <w:bidi w:val="1"/>
              <w:spacing w:before="0" w:after="0" w:line="276" w:lineRule="auto"/>
            </w:pPr>
            <w:r>
              <w:rPr>
                <w:rFonts w:ascii="Arial" w:hAnsi="Arial" w:cs="Arial" w:eastAsia="Arial"/>
                <w:b/>
                <w:bCs/>
                <w:color w:val="0E1E3A"/>
                <w:sz w:val="18"/>
                <w:szCs w:val="18"/>
                <w:rtl/>
              </w:rPr>
              <w:t>621,319,083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30 سبتمبر 2024م *****</w:t>
            </w:r>
          </w:p>
        </w:tc>
        <w:tc>
          <w:tcPr>
            <w:tcW w:type="dxa" w:w="6860"/>
          </w:tcPr>
          <w:p>
            <w:pPr>
              <w:bidi w:val="1"/>
              <w:spacing w:before="0" w:after="0" w:line="276" w:lineRule="auto"/>
            </w:pPr>
            <w:r>
              <w:rPr>
                <w:rFonts w:ascii="Arial" w:hAnsi="Arial" w:cs="Arial" w:eastAsia="Arial"/>
                <w:b/>
                <w:bCs/>
                <w:color w:val="0E1E3A"/>
                <w:sz w:val="18"/>
                <w:szCs w:val="18"/>
                <w:rtl/>
              </w:rPr>
              <w:t>572,376,972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غير متضمنة الوحدات المعاد شراؤها من قبل الصندوق بغرض إلغائها، بعدد (24,371,111) وحدة، كما في 28 سبتمبر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ديسمبر 2023م.</w:t>
      </w:r>
      <w:r>
        <w:br/>
      </w:r>
      <w:r>
        <w:rPr>
          <w:rFonts w:ascii="Arial" w:hAnsi="Arial" w:cs="Arial" w:eastAsia="Arial"/>
          <w:color w:val="5A6478"/>
          <w:sz w:val="17"/>
          <w:szCs w:val="17"/>
          <w:rtl/>
        </w:rPr>
        <w:t>*** غير متضمنة الوحدات المعاد شراؤها من قبل الصندوق بغرض إلغائها، بعدد (28,383,198 وحدة) كما في 31 مارس 2024م.</w:t>
      </w:r>
      <w:r>
        <w:br/>
      </w:r>
      <w:r>
        <w:rPr>
          <w:rFonts w:ascii="Arial" w:hAnsi="Arial" w:cs="Arial" w:eastAsia="Arial"/>
          <w:color w:val="5A6478"/>
          <w:sz w:val="17"/>
          <w:szCs w:val="17"/>
          <w:rtl/>
        </w:rPr>
        <w:t>**** غير متضمنة الوحدات المعاد شراؤها من قبل الصندوق بغرض إلغائها، بعدد (29,475,700.00) كما في 30 يونيو 2024م.</w:t>
      </w:r>
      <w:r>
        <w:br/>
      </w:r>
      <w:r>
        <w:rPr>
          <w:rFonts w:ascii="Arial" w:hAnsi="Arial" w:cs="Arial" w:eastAsia="Arial"/>
          <w:color w:val="5A6478"/>
          <w:sz w:val="17"/>
          <w:szCs w:val="17"/>
          <w:rtl/>
        </w:rPr>
        <w:t>***** تم إلغاء الوحدات المعاد شراؤها من قبل الصندوق بغرض إلغائها بعدد (30,025,851 وحدة) بتاريخ 25 يوليو 2024م</w:t>
      </w:r>
      <w:r>
        <w:br/>
      </w:r>
      <w:r>
        <w:rPr>
          <w:rFonts w:ascii="Arial" w:hAnsi="Arial" w:cs="Arial" w:eastAsia="Arial"/>
          <w:color w:val="5A6478"/>
          <w:sz w:val="17"/>
          <w:szCs w:val="17"/>
          <w:rtl/>
        </w:rPr>
        <w:t>***** غير متضمنة الوحدات المعاد شراؤها من قبل الصندوق بغرض إلغائها، بعدد (257,100) كما في 30 سبتمبر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5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الثالث (30 سبتمبر 2024م)</w:t>
            </w:r>
          </w:p>
        </w:tc>
        <w:tc>
          <w:tcPr>
            <w:tcW w:type="dxa" w:w="6860"/>
          </w:tcPr>
          <w:p>
            <w:pPr>
              <w:bidi w:val="1"/>
              <w:spacing w:before="0" w:after="0" w:line="276" w:lineRule="auto"/>
            </w:pPr>
            <w:r>
              <w:rPr>
                <w:rFonts w:ascii="Arial" w:hAnsi="Arial" w:cs="Arial" w:eastAsia="Arial"/>
                <w:b/>
                <w:bCs/>
                <w:color w:val="0E1E3A"/>
                <w:sz w:val="18"/>
                <w:szCs w:val="18"/>
                <w:rtl/>
              </w:rPr>
              <w:t>8.21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مقارنة بالربع السابق (من تاريخ 30 يونيو 2024م إلى 30 سبتمبر 2024م)</w:t>
            </w:r>
          </w:p>
        </w:tc>
        <w:tc>
          <w:tcPr>
            <w:tcW w:type="dxa" w:w="6860"/>
          </w:tcPr>
          <w:p>
            <w:pPr>
              <w:bidi w:val="1"/>
              <w:spacing w:before="0" w:after="0" w:line="276" w:lineRule="auto"/>
            </w:pPr>
            <w:r>
              <w:rPr>
                <w:rFonts w:ascii="Arial" w:hAnsi="Arial" w:cs="Arial" w:eastAsia="Arial"/>
                <w:b/>
                <w:bCs/>
                <w:color w:val="0E1E3A"/>
                <w:sz w:val="18"/>
                <w:szCs w:val="18"/>
              </w:rPr>
              <w:t>‎-6.81%‎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الثالث 2024م)</w:t>
            </w:r>
          </w:p>
        </w:tc>
        <w:tc>
          <w:tcPr>
            <w:tcW w:type="dxa" w:w="6860"/>
          </w:tcPr>
          <w:p>
            <w:pPr>
              <w:bidi w:val="1"/>
              <w:spacing w:before="0" w:after="0" w:line="276" w:lineRule="auto"/>
            </w:pPr>
            <w:r>
              <w:rPr>
                <w:rFonts w:ascii="Arial" w:hAnsi="Arial" w:cs="Arial" w:eastAsia="Arial"/>
                <w:b/>
                <w:bCs/>
                <w:color w:val="0E1E3A"/>
                <w:sz w:val="18"/>
                <w:szCs w:val="18"/>
              </w:rPr>
              <w:t>‎-17.90%‎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لسعر الوحدة منذ تاريخ الإدراج (من تاريخ الإدراج إلى نهاية الربع الثالث 2024م)</w:t>
            </w:r>
          </w:p>
        </w:tc>
        <w:tc>
          <w:tcPr>
            <w:tcW w:type="dxa" w:w="6860"/>
          </w:tcPr>
          <w:p>
            <w:pPr>
              <w:bidi w:val="1"/>
              <w:spacing w:before="0" w:after="0" w:line="276" w:lineRule="auto"/>
            </w:pPr>
            <w:r>
              <w:rPr>
                <w:rFonts w:ascii="Arial" w:hAnsi="Arial" w:cs="Arial" w:eastAsia="Arial"/>
                <w:b/>
                <w:bCs/>
                <w:color w:val="0E1E3A"/>
                <w:sz w:val="18"/>
                <w:szCs w:val="18"/>
              </w:rPr>
              <w:t>‎0.17%‎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9.38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8.01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(كما في 30 سبتمبر 2024م) *</w:t>
            </w:r>
          </w:p>
        </w:tc>
        <w:tc>
          <w:tcPr>
            <w:tcW w:type="dxa" w:w="6860"/>
          </w:tcPr>
          <w:p>
            <w:pPr>
              <w:bidi w:val="1"/>
              <w:spacing w:before="0" w:after="0" w:line="276" w:lineRule="auto"/>
            </w:pPr>
            <w:r>
              <w:rPr>
                <w:rFonts w:ascii="Arial" w:hAnsi="Arial" w:cs="Arial" w:eastAsia="Arial"/>
                <w:b/>
                <w:bCs/>
                <w:color w:val="0E1E3A"/>
                <w:sz w:val="18"/>
                <w:szCs w:val="18"/>
                <w:rtl/>
              </w:rPr>
              <w:t>69,717,049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بعد خصم الوحدات المعاد شراؤها من قبل الصندوق بغرض إلغائها،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2"/>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 خلال الربع المعني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 *</w:t>
            </w:r>
          </w:p>
        </w:tc>
        <w:tc>
          <w:tcPr>
            <w:tcW w:type="dxa" w:w="6860"/>
          </w:tcPr>
          <w:p>
            <w:pPr>
              <w:bidi w:val="1"/>
              <w:spacing w:before="0" w:after="0" w:line="276" w:lineRule="auto"/>
            </w:pPr>
            <w:r>
              <w:rPr>
                <w:rFonts w:ascii="Arial" w:hAnsi="Arial" w:cs="Arial" w:eastAsia="Arial"/>
                <w:b/>
                <w:bCs/>
                <w:color w:val="0E1E3A"/>
                <w:sz w:val="18"/>
                <w:szCs w:val="18"/>
                <w:rtl/>
              </w:rPr>
              <w:t xml:space="preserve">يستهدف مدير الصندوق 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صافي عوائد استثمارات الصندوق، والتي تشمل فقط توزيعات الأسهم المدرجة التي يستثمر بها الصندوق مرتين سنويا، حيث يقوم الصندوق بتوزيع العوائد خلال 40 يوم عمل من تاريخ إصدار القوائم المالية نصف السنوية والسنوية. ويحق لمدير الصندوق وفق ما يقرره مناسبا، توزيع حتى </w:t>
            </w:r>
            <w:r>
              <w:rPr>
                <w:rFonts w:ascii="Arial" w:hAnsi="Arial" w:cs="Arial" w:eastAsia="Arial"/>
                <w:b/>
                <w:bCs/>
                <w:color w:val="0E1E3A"/>
                <w:sz w:val="18"/>
                <w:szCs w:val="18"/>
              </w:rPr>
              <w:t>‎50%‎</w:t>
            </w:r>
            <w:r>
              <w:rPr>
                <w:rFonts w:ascii="Arial" w:hAnsi="Arial" w:cs="Arial" w:eastAsia="Arial"/>
                <w:b/>
                <w:bCs/>
                <w:color w:val="0E1E3A"/>
                <w:sz w:val="18"/>
                <w:szCs w:val="18"/>
                <w:rtl/>
              </w:rPr>
              <w:t xml:space="preserve"> من صافي الأرباح الرأس مالية المحققة وغير المحققة مرتين سنويا، حيث يقوم الصندوق بتوزيع الأرباح الرأس مالية (إن وجدت) المحققة وغير المحققة خلال 40 يوم عمل من تاريخ إصدار القوائم المالية نصف السنوية والسنوية، وسيتم الإعلان عن التوزيعات (إن وجدت) خلال عشرة أيام عمل من تاريخ إصدار القوائم المالية نصف السنوية والسنوية، وسيتم الإعلان عن تفاصيل التوزيعات النقدية من خلال موقع سوق تداول السعودية.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0.60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فترة نصف سنوية</w:t>
            </w:r>
          </w:p>
        </w:tc>
        <w:tc>
          <w:tcPr>
            <w:tcW w:type="dxa" w:w="6860"/>
          </w:tcPr>
          <w:p>
            <w:pPr>
              <w:bidi w:val="1"/>
              <w:spacing w:before="0" w:after="0" w:line="276" w:lineRule="auto"/>
            </w:pPr>
            <w:r>
              <w:rPr>
                <w:rFonts w:ascii="Arial" w:hAnsi="Arial" w:cs="Arial" w:eastAsia="Arial"/>
                <w:b/>
                <w:bCs/>
                <w:color w:val="0E1E3A"/>
                <w:sz w:val="18"/>
                <w:szCs w:val="18"/>
                <w:rtl/>
              </w:rPr>
              <w:t>41,984,489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 **</w:t>
            </w:r>
          </w:p>
        </w:tc>
        <w:tc>
          <w:tcPr>
            <w:tcW w:type="dxa" w:w="6860"/>
          </w:tcPr>
          <w:p>
            <w:pPr>
              <w:bidi w:val="1"/>
              <w:spacing w:before="0" w:after="0" w:line="276" w:lineRule="auto"/>
            </w:pPr>
            <w:r>
              <w:rPr>
                <w:rFonts w:ascii="Arial" w:hAnsi="Arial" w:cs="Arial" w:eastAsia="Arial"/>
                <w:b/>
                <w:bCs/>
                <w:color w:val="0E1E3A"/>
                <w:sz w:val="18"/>
                <w:szCs w:val="18"/>
                <w:rtl/>
              </w:rPr>
              <w:t>0.60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في الربع المعني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‎6.00%‎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السوقي</w:t>
            </w:r>
          </w:p>
        </w:tc>
        <w:tc>
          <w:tcPr>
            <w:tcW w:type="dxa" w:w="6860"/>
          </w:tcPr>
          <w:p>
            <w:pPr>
              <w:bidi w:val="1"/>
              <w:spacing w:before="0" w:after="0" w:line="276" w:lineRule="auto"/>
            </w:pPr>
            <w:r>
              <w:rPr>
                <w:rFonts w:ascii="Arial" w:hAnsi="Arial" w:cs="Arial" w:eastAsia="Arial"/>
                <w:b/>
                <w:bCs/>
                <w:color w:val="0E1E3A"/>
                <w:sz w:val="18"/>
                <w:szCs w:val="18"/>
              </w:rPr>
              <w:t>‎7.31%‎</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الأرباح المستلمة من الأسهم المدرجة التي يستثمر بها الصندوق</w:t>
            </w:r>
          </w:p>
        </w:tc>
        <w:tc>
          <w:tcPr>
            <w:tcW w:type="dxa" w:w="6860"/>
          </w:tcPr>
          <w:p>
            <w:pPr>
              <w:bidi w:val="1"/>
              <w:spacing w:before="0" w:after="0" w:line="276" w:lineRule="auto"/>
            </w:pPr>
            <w:r>
              <w:rPr>
                <w:rFonts w:ascii="Arial" w:hAnsi="Arial" w:cs="Arial" w:eastAsia="Arial"/>
                <w:b/>
                <w:bCs/>
                <w:color w:val="0E1E3A"/>
                <w:sz w:val="18"/>
                <w:szCs w:val="18"/>
                <w:rtl/>
              </w:rPr>
              <w:t>2,209,263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3,274,967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غير محققة من استثمارات الصندوق</w:t>
            </w:r>
          </w:p>
        </w:tc>
        <w:tc>
          <w:tcPr>
            <w:tcW w:type="dxa" w:w="6860"/>
          </w:tcPr>
          <w:p>
            <w:pPr>
              <w:bidi w:val="1"/>
              <w:spacing w:before="0" w:after="0" w:line="276" w:lineRule="auto"/>
            </w:pPr>
            <w:r>
              <w:rPr>
                <w:rFonts w:ascii="Arial" w:hAnsi="Arial" w:cs="Arial" w:eastAsia="Arial"/>
                <w:b/>
                <w:bCs/>
                <w:color w:val="0E1E3A"/>
                <w:sz w:val="18"/>
                <w:szCs w:val="18"/>
                <w:rtl/>
              </w:rPr>
              <w:t>22,627,420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أرباح فروقات عملة أجنبية</w:t>
            </w:r>
          </w:p>
        </w:tc>
        <w:tc>
          <w:tcPr>
            <w:tcW w:type="dxa" w:w="6860"/>
          </w:tcPr>
          <w:p>
            <w:pPr>
              <w:bidi w:val="1"/>
              <w:spacing w:before="0" w:after="0" w:line="276" w:lineRule="auto"/>
            </w:pPr>
            <w:r>
              <w:rPr>
                <w:rFonts w:ascii="Arial" w:hAnsi="Arial" w:cs="Arial" w:eastAsia="Arial"/>
                <w:b/>
                <w:bCs/>
                <w:color w:val="0E1E3A"/>
                <w:sz w:val="18"/>
                <w:szCs w:val="18"/>
                <w:rtl/>
              </w:rPr>
              <w:t>-145,023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27,966,627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 خل للربع المعني على سعر الوحدة كما في 30 سبتمبر 2024م</w:t>
            </w:r>
          </w:p>
        </w:tc>
        <w:tc>
          <w:tcPr>
            <w:tcW w:type="dxa" w:w="6860"/>
          </w:tcPr>
          <w:p>
            <w:pPr>
              <w:bidi w:val="1"/>
              <w:spacing w:before="0" w:after="0" w:line="276" w:lineRule="auto"/>
            </w:pPr>
            <w:r>
              <w:rPr>
                <w:rFonts w:ascii="Arial" w:hAnsi="Arial" w:cs="Arial" w:eastAsia="Arial"/>
                <w:b/>
                <w:bCs/>
                <w:color w:val="0E1E3A"/>
                <w:sz w:val="18"/>
                <w:szCs w:val="18"/>
              </w:rPr>
              <w:t>‎4.89%‎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سيتم تحديث سياسة توز يع الأرباح بعد الحصول على موافقة هيئة السوق المالية.</w:t>
      </w:r>
      <w:r>
        <w:br/>
      </w:r>
      <w:r>
        <w:rPr>
          <w:rFonts w:ascii="Arial" w:hAnsi="Arial" w:cs="Arial" w:eastAsia="Arial"/>
          <w:color w:val="5A6478"/>
          <w:sz w:val="17"/>
          <w:szCs w:val="17"/>
          <w:rtl/>
        </w:rPr>
        <w:t>** عدد الوحدات بتاريخ استحقاق التوزيع كان 69,974,149 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الصافي للصندوق منذ تاريخ البدء</w:t>
            </w:r>
          </w:p>
        </w:tc>
        <w:tc>
          <w:tcPr>
            <w:tcW w:type="dxa" w:w="6860"/>
          </w:tcPr>
          <w:p>
            <w:pPr>
              <w:bidi w:val="1"/>
              <w:spacing w:before="0" w:after="0" w:line="276" w:lineRule="auto"/>
            </w:pPr>
            <w:r>
              <w:rPr>
                <w:rFonts w:ascii="Arial" w:hAnsi="Arial" w:cs="Arial" w:eastAsia="Arial"/>
                <w:b/>
                <w:bCs/>
                <w:color w:val="0E1E3A"/>
                <w:sz w:val="18"/>
                <w:szCs w:val="18"/>
              </w:rPr>
              <w:t>‎39.45%‎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(لآخر 12 شهرًا)</w:t>
            </w:r>
          </w:p>
        </w:tc>
        <w:tc>
          <w:tcPr>
            <w:tcW w:type="dxa" w:w="6860"/>
          </w:tcPr>
          <w:p>
            <w:pPr>
              <w:bidi w:val="1"/>
              <w:spacing w:before="0" w:after="0" w:line="276" w:lineRule="auto"/>
            </w:pPr>
            <w:r>
              <w:rPr>
                <w:rFonts w:ascii="Arial" w:hAnsi="Arial" w:cs="Arial" w:eastAsia="Arial"/>
                <w:b/>
                <w:bCs/>
                <w:color w:val="0E1E3A"/>
                <w:sz w:val="18"/>
                <w:szCs w:val="18"/>
                <w:rtl/>
              </w:rPr>
              <w:t>21.81x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مؤشر "الخبير للأسهم العالمية"، وهو مؤشر تم إنشاؤه خصيصا لصالح الصندوق بالتعاون مع مقدم خدمة المؤشر، والذي سيقوم بحساب قيم الشركات المضمنة في المؤشر وإدارته لمصلحة الصندوق. ويشمل المؤشر شركات متنوعة القطاعات والأحجام في أكبر الأسواق المالية العالمية، بالإضافة إلى أكبر الشركات القيادية في المملكة العربية السعودية بعد فلترة الشركات بناء على قيمة سوقية تتجاوز 100 مليون دولار أمريكي، وقيمة متداولة تتجاوز مليون دولار أمريكي يوميا. ويشمل المؤشر 160 شركة عالمية، تمثل أكبر الأسواق المالية العالمية، بالإضافة إلى أكبر عشر شركات في المملكة العربية السعودية متوافقة مع ضوابط اللجنة الشرعية. وتم تقسيم الشركات العالمية بحسب القيم السوقية على ثلاث فئات: أكبر 70 شركة من حيث القيم السوقية للأسهم الحرة من ضمن الشركات ذات القيم السوقية الكبيرة، وأكبر 50 شركة من حيث القيم السوقية للأسهم الحرة من ضمن الشركات ذات القيم السوقية المتوسطة، وأكبر 40 شركة من حيث القيم السوقية للأسهم الحرة من ضمن الشركات ذات القيم السوقية الصغيرة.</w:t>
      </w:r>
    </w:p>
    <w:p>
      <w:pPr>
        <w:bidi w:val="1"/>
        <w:spacing w:before="0" w:after="80" w:line="312" w:lineRule="auto"/>
      </w:pPr>
      <w:r>
        <w:rPr>
          <w:rFonts w:ascii="Arial" w:hAnsi="Arial" w:cs="Arial" w:eastAsia="Arial"/>
          <w:color w:val="0E1E3A"/>
          <w:sz w:val="20"/>
          <w:szCs w:val="20"/>
          <w:rtl/>
        </w:rPr>
        <w:t xml:space="preserve">يتم تعريف الشركات ذات القيمة السوقية الكبيرة بأنها تلك الشركات التي تمثل أكبر قيمة سوقية، وهي الشركة من شريحة الشركات التي تمثل ما يصل إلى </w:t>
      </w:r>
      <w:r>
        <w:rPr>
          <w:rFonts w:ascii="Arial" w:hAnsi="Arial" w:cs="Arial" w:eastAsia="Arial"/>
          <w:color w:val="0E1E3A"/>
          <w:sz w:val="20"/>
          <w:szCs w:val="20"/>
        </w:rPr>
        <w:t>‎70%‎</w:t>
      </w:r>
      <w:r>
        <w:rPr>
          <w:rFonts w:ascii="Arial" w:hAnsi="Arial" w:cs="Arial" w:eastAsia="Arial"/>
          <w:color w:val="0E1E3A"/>
          <w:sz w:val="20"/>
          <w:szCs w:val="20"/>
          <w:rtl/>
        </w:rPr>
        <w:t xml:space="preserve"> من حجم قيم السوق مجتمعة، بينما تمثل شريحة الشركات متوسطة القيمة السوقية ما يتراوح بين أكثر من </w:t>
      </w:r>
      <w:r>
        <w:rPr>
          <w:rFonts w:ascii="Arial" w:hAnsi="Arial" w:cs="Arial" w:eastAsia="Arial"/>
          <w:color w:val="0E1E3A"/>
          <w:sz w:val="20"/>
          <w:szCs w:val="20"/>
        </w:rPr>
        <w:t>‎70%‎</w:t>
      </w:r>
      <w:r>
        <w:rPr>
          <w:rFonts w:ascii="Arial" w:hAnsi="Arial" w:cs="Arial" w:eastAsia="Arial"/>
          <w:color w:val="0E1E3A"/>
          <w:sz w:val="20"/>
          <w:szCs w:val="20"/>
          <w:rtl/>
        </w:rPr>
        <w:t xml:space="preserve"> وبين ما يصل إلى </w:t>
      </w:r>
      <w:r>
        <w:rPr>
          <w:rFonts w:ascii="Arial" w:hAnsi="Arial" w:cs="Arial" w:eastAsia="Arial"/>
          <w:color w:val="0E1E3A"/>
          <w:sz w:val="20"/>
          <w:szCs w:val="20"/>
        </w:rPr>
        <w:t>‎85%‎</w:t>
      </w:r>
      <w:r>
        <w:rPr>
          <w:rFonts w:ascii="Arial" w:hAnsi="Arial" w:cs="Arial" w:eastAsia="Arial"/>
          <w:color w:val="0E1E3A"/>
          <w:sz w:val="20"/>
          <w:szCs w:val="20"/>
          <w:rtl/>
        </w:rPr>
        <w:t xml:space="preserve"> من حجم قيم السوق مجتمعة، وتمثل شريحة الشركات صغيرة حجم القيمة السوقية ما يتراوح بين أكثر من </w:t>
      </w:r>
      <w:r>
        <w:rPr>
          <w:rFonts w:ascii="Arial" w:hAnsi="Arial" w:cs="Arial" w:eastAsia="Arial"/>
          <w:color w:val="0E1E3A"/>
          <w:sz w:val="20"/>
          <w:szCs w:val="20"/>
        </w:rPr>
        <w:t>‎85%‎</w:t>
      </w:r>
      <w:r>
        <w:rPr>
          <w:rFonts w:ascii="Arial" w:hAnsi="Arial" w:cs="Arial" w:eastAsia="Arial"/>
          <w:color w:val="0E1E3A"/>
          <w:sz w:val="20"/>
          <w:szCs w:val="20"/>
          <w:rtl/>
        </w:rPr>
        <w:t xml:space="preserve">، حتى ما يصل إلى </w:t>
      </w:r>
      <w:r>
        <w:rPr>
          <w:rFonts w:ascii="Arial" w:hAnsi="Arial" w:cs="Arial" w:eastAsia="Arial"/>
          <w:color w:val="0E1E3A"/>
          <w:sz w:val="20"/>
          <w:szCs w:val="20"/>
        </w:rPr>
        <w:t>‎100%‎</w:t>
      </w:r>
      <w:r>
        <w:rPr>
          <w:rFonts w:ascii="Arial" w:hAnsi="Arial" w:cs="Arial" w:eastAsia="Arial"/>
          <w:color w:val="0E1E3A"/>
          <w:sz w:val="20"/>
          <w:szCs w:val="20"/>
          <w:rtl/>
        </w:rPr>
        <w:t xml:space="preserve"> من حجم قيم السوق مجتمعة.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5"/>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للنمو والدخل المتداول"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مؤشر "الخبير للأسهم العالمية"</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w:t>
            </w:r>
          </w:p>
        </w:tc>
        <w:tc>
          <w:tcPr>
            <w:tcW w:type="dxa" w:w="3326"/>
          </w:tcPr>
          <w:p>
            <w:pPr>
              <w:bidi w:val="1"/>
              <w:spacing w:before="0" w:after="0" w:line="264" w:lineRule="auto"/>
            </w:pPr>
            <w:r>
              <w:rPr>
                <w:rFonts w:ascii="Arial" w:hAnsi="Arial" w:cs="Arial" w:eastAsia="Arial"/>
                <w:color w:val="0E1E3A"/>
                <w:sz w:val="17"/>
                <w:szCs w:val="17"/>
                <w:rtl/>
              </w:rPr>
              <w:t>12.1372 ر.س.</w:t>
            </w:r>
          </w:p>
        </w:tc>
        <w:tc>
          <w:tcPr>
            <w:tcW w:type="dxa" w:w="3326"/>
          </w:tcPr>
          <w:p>
            <w:pPr>
              <w:bidi w:val="1"/>
              <w:spacing w:before="0" w:after="0" w:line="264" w:lineRule="auto"/>
            </w:pPr>
            <w:r>
              <w:rPr>
                <w:rFonts w:ascii="Arial" w:hAnsi="Arial" w:cs="Arial" w:eastAsia="Arial"/>
                <w:color w:val="0E1E3A"/>
                <w:sz w:val="17"/>
                <w:szCs w:val="17"/>
                <w:rtl/>
              </w:rPr>
              <w:t>119.0440</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w:t>
            </w:r>
          </w:p>
        </w:tc>
        <w:tc>
          <w:tcPr>
            <w:tcW w:type="dxa" w:w="3326"/>
          </w:tcPr>
          <w:p>
            <w:pPr>
              <w:bidi w:val="1"/>
              <w:spacing w:before="0" w:after="0" w:line="264" w:lineRule="auto"/>
            </w:pPr>
            <w:r>
              <w:rPr>
                <w:rFonts w:ascii="Arial" w:hAnsi="Arial" w:cs="Arial" w:eastAsia="Arial"/>
                <w:color w:val="0E1E3A"/>
                <w:sz w:val="17"/>
                <w:szCs w:val="17"/>
                <w:rtl/>
              </w:rPr>
              <w:t>**11.937 5 ر.س.</w:t>
            </w:r>
          </w:p>
        </w:tc>
        <w:tc>
          <w:tcPr>
            <w:tcW w:type="dxa" w:w="3326"/>
          </w:tcPr>
          <w:p>
            <w:pPr>
              <w:bidi w:val="1"/>
              <w:spacing w:before="0" w:after="0" w:line="264" w:lineRule="auto"/>
            </w:pPr>
            <w:r>
              <w:rPr>
                <w:rFonts w:ascii="Arial" w:hAnsi="Arial" w:cs="Arial" w:eastAsia="Arial"/>
                <w:color w:val="0E1E3A"/>
                <w:sz w:val="17"/>
                <w:szCs w:val="17"/>
                <w:rtl/>
              </w:rPr>
              <w:t>123.2346</w:t>
            </w:r>
          </w:p>
        </w:tc>
      </w:tr>
      <w:tr>
        <w:tc>
          <w:tcPr>
            <w:tcW w:type="dxa" w:w="3326"/>
          </w:tcPr>
          <w:p>
            <w:pPr>
              <w:bidi w:val="1"/>
              <w:spacing w:before="0" w:after="0" w:line="264" w:lineRule="auto"/>
            </w:pPr>
            <w:r>
              <w:rPr>
                <w:rFonts w:ascii="Arial" w:hAnsi="Arial" w:cs="Arial" w:eastAsia="Arial"/>
                <w:color w:val="0E1E3A"/>
                <w:sz w:val="17"/>
                <w:szCs w:val="17"/>
                <w:rtl/>
              </w:rPr>
              <w:t>أداء الوحدة *</w:t>
            </w:r>
          </w:p>
        </w:tc>
        <w:tc>
          <w:tcPr>
            <w:tcW w:type="dxa" w:w="3326"/>
          </w:tcPr>
          <w:p>
            <w:pPr>
              <w:bidi w:val="1"/>
              <w:spacing w:before="0" w:after="0" w:line="264" w:lineRule="auto"/>
            </w:pPr>
            <w:r>
              <w:rPr>
                <w:rFonts w:ascii="Arial" w:hAnsi="Arial" w:cs="Arial" w:eastAsia="Arial"/>
                <w:color w:val="0E1E3A"/>
                <w:sz w:val="17"/>
                <w:szCs w:val="17"/>
              </w:rPr>
              <w:t>‎-1.65%‎</w:t>
            </w:r>
          </w:p>
        </w:tc>
        <w:tc>
          <w:tcPr>
            <w:tcW w:type="dxa" w:w="3326"/>
          </w:tcPr>
          <w:p>
            <w:pPr>
              <w:bidi w:val="1"/>
              <w:spacing w:before="0" w:after="0" w:line="264" w:lineRule="auto"/>
            </w:pPr>
            <w:r>
              <w:rPr>
                <w:rFonts w:ascii="Arial" w:hAnsi="Arial" w:cs="Arial" w:eastAsia="Arial"/>
                <w:color w:val="0E1E3A"/>
                <w:sz w:val="17"/>
                <w:szCs w:val="17"/>
              </w:rPr>
              <w:t>‎3.52%‎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أداء صافي قيمة الوحدة والتي لا تشمل توزيع الأرباح للفترة المحددة.</w:t>
      </w:r>
      <w:r>
        <w:br/>
      </w:r>
      <w:r>
        <w:rPr>
          <w:rFonts w:ascii="Arial" w:hAnsi="Arial" w:cs="Arial" w:eastAsia="Arial"/>
          <w:color w:val="5A6478"/>
          <w:sz w:val="17"/>
          <w:szCs w:val="17"/>
          <w:rtl/>
        </w:rPr>
        <w:t>** بعد دفع توزيعات الأرباح للنصف الأول من العام 2024م بمقدار 0.60 ريال سعودي لكل وحدة خلال الربع الثالث من العام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5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 ***</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‎3.58%‎</w:t>
            </w:r>
          </w:p>
        </w:tc>
        <w:tc>
          <w:tcPr>
            <w:tcW w:type="dxa" w:w="1663"/>
          </w:tcPr>
          <w:p>
            <w:pPr>
              <w:bidi w:val="1"/>
              <w:spacing w:before="0" w:after="0" w:line="264" w:lineRule="auto"/>
            </w:pPr>
            <w:r>
              <w:rPr>
                <w:rFonts w:ascii="Arial" w:hAnsi="Arial" w:cs="Arial" w:eastAsia="Arial"/>
                <w:color w:val="0E1E3A"/>
                <w:sz w:val="17"/>
                <w:szCs w:val="17"/>
              </w:rPr>
              <w:t>‎15.38%‎</w:t>
            </w:r>
          </w:p>
        </w:tc>
        <w:tc>
          <w:tcPr>
            <w:tcW w:type="dxa" w:w="1663"/>
          </w:tcPr>
          <w:p>
            <w:pPr>
              <w:bidi w:val="1"/>
              <w:spacing w:before="0" w:after="0" w:line="264" w:lineRule="auto"/>
            </w:pPr>
            <w:r>
              <w:rPr>
                <w:rFonts w:ascii="Arial" w:hAnsi="Arial" w:cs="Arial" w:eastAsia="Arial"/>
                <w:color w:val="0E1E3A"/>
                <w:sz w:val="17"/>
                <w:szCs w:val="17"/>
              </w:rPr>
              <w:t>‎24.76%‎</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‎3.52%‎</w:t>
            </w:r>
          </w:p>
        </w:tc>
        <w:tc>
          <w:tcPr>
            <w:tcW w:type="dxa" w:w="1663"/>
          </w:tcPr>
          <w:p>
            <w:pPr>
              <w:bidi w:val="1"/>
              <w:spacing w:before="0" w:after="0" w:line="264" w:lineRule="auto"/>
            </w:pPr>
            <w:r>
              <w:rPr>
                <w:rFonts w:ascii="Arial" w:hAnsi="Arial" w:cs="Arial" w:eastAsia="Arial"/>
                <w:color w:val="0E1E3A"/>
                <w:sz w:val="17"/>
                <w:szCs w:val="17"/>
              </w:rPr>
              <w:t>‎15.16%‎</w:t>
            </w:r>
          </w:p>
        </w:tc>
        <w:tc>
          <w:tcPr>
            <w:tcW w:type="dxa" w:w="1663"/>
          </w:tcPr>
          <w:p>
            <w:pPr>
              <w:bidi w:val="1"/>
              <w:spacing w:before="0" w:after="0" w:line="264" w:lineRule="auto"/>
            </w:pPr>
            <w:r>
              <w:rPr>
                <w:rFonts w:ascii="Arial" w:hAnsi="Arial" w:cs="Arial" w:eastAsia="Arial"/>
                <w:color w:val="0E1E3A"/>
                <w:sz w:val="17"/>
                <w:szCs w:val="17"/>
              </w:rPr>
              <w:t>‎23.98%‎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‎0.06%‎</w:t>
            </w:r>
          </w:p>
        </w:tc>
        <w:tc>
          <w:tcPr>
            <w:tcW w:type="dxa" w:w="1663"/>
          </w:tcPr>
          <w:p>
            <w:pPr>
              <w:bidi w:val="1"/>
              <w:spacing w:before="0" w:after="0" w:line="264" w:lineRule="auto"/>
            </w:pPr>
            <w:r>
              <w:rPr>
                <w:rFonts w:ascii="Arial" w:hAnsi="Arial" w:cs="Arial" w:eastAsia="Arial"/>
                <w:color w:val="0E1E3A"/>
                <w:sz w:val="17"/>
                <w:szCs w:val="17"/>
              </w:rPr>
              <w:t>‎0.22%‎</w:t>
            </w:r>
          </w:p>
        </w:tc>
        <w:tc>
          <w:tcPr>
            <w:tcW w:type="dxa" w:w="1663"/>
          </w:tcPr>
          <w:p>
            <w:pPr>
              <w:bidi w:val="1"/>
              <w:spacing w:before="0" w:after="0" w:line="264" w:lineRule="auto"/>
            </w:pPr>
            <w:r>
              <w:rPr>
                <w:rFonts w:ascii="Arial" w:hAnsi="Arial" w:cs="Arial" w:eastAsia="Arial"/>
                <w:color w:val="0E1E3A"/>
                <w:sz w:val="17"/>
                <w:szCs w:val="17"/>
              </w:rPr>
              <w:t>‎0.78%‎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 (تتضمن توزيع أرباح قدرها 0.60 ريال سعودي خلال الربع الثالث).</w:t>
      </w:r>
      <w:r>
        <w:br/>
      </w:r>
      <w:r>
        <w:rPr>
          <w:rFonts w:ascii="Arial" w:hAnsi="Arial" w:cs="Arial" w:eastAsia="Arial"/>
          <w:color w:val="5A6478"/>
          <w:sz w:val="17"/>
          <w:szCs w:val="17"/>
          <w:rtl/>
        </w:rPr>
        <w:t>** عن الفترة من 31 ديسمبر 2023م إلى 30 سبتمبر 2024م.</w:t>
      </w:r>
      <w:r>
        <w:br/>
      </w:r>
      <w:r>
        <w:rPr>
          <w:rFonts w:ascii="Arial" w:hAnsi="Arial" w:cs="Arial" w:eastAsia="Arial"/>
          <w:color w:val="5A6478"/>
          <w:sz w:val="17"/>
          <w:szCs w:val="17"/>
          <w:rtl/>
        </w:rPr>
        <w:t>*** عن الفترة من 28 سبتمبر 2023م إلى 30 سبتمبر 2024م متضمنة توزيعات نقدية بقيمة 1.715 رس (0.93 +0.185 +0.60).</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58"/>
            <wp:cNvGraphicFramePr>
              <a:graphicFrameLocks noChangeAspect="1"/>
            </wp:cNvGraphicFramePr>
            <a:graphic>
              <a:graphicData uri="http://schemas.openxmlformats.org/drawingml/2006/picture">
                <pic:pic>
                  <pic:nvPicPr>
                    <pic:cNvPr id="0" name="ico_47bcec02f49b9d1a764a57a70a5c831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للربع المعني</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 1</w:t>
            </w:r>
          </w:p>
        </w:tc>
        <w:tc>
          <w:tcPr>
            <w:tcW w:type="dxa" w:w="1663"/>
          </w:tcPr>
          <w:p>
            <w:pPr>
              <w:bidi w:val="1"/>
              <w:spacing w:before="0" w:after="0" w:line="264" w:lineRule="auto"/>
            </w:pPr>
            <w:r>
              <w:rPr>
                <w:rFonts w:ascii="Arial" w:hAnsi="Arial" w:cs="Arial" w:eastAsia="Arial"/>
                <w:color w:val="0E1E3A"/>
                <w:sz w:val="17"/>
                <w:szCs w:val="17"/>
                <w:rtl/>
              </w:rPr>
              <w:t>19.78</w:t>
            </w:r>
          </w:p>
        </w:tc>
        <w:tc>
          <w:tcPr>
            <w:tcW w:type="dxa" w:w="1663"/>
          </w:tcPr>
          <w:p>
            <w:pPr>
              <w:bidi w:val="1"/>
              <w:spacing w:before="0" w:after="0" w:line="264" w:lineRule="auto"/>
            </w:pPr>
            <w:r>
              <w:rPr>
                <w:rFonts w:ascii="Arial" w:hAnsi="Arial" w:cs="Arial" w:eastAsia="Arial"/>
                <w:color w:val="0E1E3A"/>
                <w:sz w:val="17"/>
                <w:szCs w:val="17"/>
                <w:rtl/>
              </w:rPr>
              <w:t>13.64</w:t>
            </w:r>
          </w:p>
        </w:tc>
        <w:tc>
          <w:tcPr>
            <w:tcW w:type="dxa" w:w="1663"/>
          </w:tcPr>
          <w:p>
            <w:pPr>
              <w:bidi w:val="1"/>
              <w:spacing w:before="0" w:after="0" w:line="264" w:lineRule="auto"/>
            </w:pPr>
            <w:r>
              <w:rPr>
                <w:rFonts w:ascii="Arial" w:hAnsi="Arial" w:cs="Arial" w:eastAsia="Arial"/>
                <w:color w:val="0E1E3A"/>
                <w:sz w:val="17"/>
                <w:szCs w:val="17"/>
                <w:rtl/>
              </w:rPr>
              <w:t>12.57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 2</w:t>
            </w:r>
          </w:p>
        </w:tc>
        <w:tc>
          <w:tcPr>
            <w:tcW w:type="dxa" w:w="1663"/>
          </w:tcPr>
          <w:p>
            <w:pPr>
              <w:bidi w:val="1"/>
              <w:spacing w:before="0" w:after="0" w:line="264" w:lineRule="auto"/>
            </w:pPr>
            <w:r>
              <w:rPr>
                <w:rFonts w:ascii="Arial" w:hAnsi="Arial" w:cs="Arial" w:eastAsia="Arial"/>
                <w:color w:val="0E1E3A"/>
                <w:sz w:val="17"/>
                <w:szCs w:val="17"/>
                <w:rtl/>
              </w:rPr>
              <w:t>0.52</w:t>
            </w:r>
          </w:p>
        </w:tc>
        <w:tc>
          <w:tcPr>
            <w:tcW w:type="dxa" w:w="1663"/>
          </w:tcPr>
          <w:p>
            <w:pPr>
              <w:bidi w:val="1"/>
              <w:spacing w:before="0" w:after="0" w:line="264" w:lineRule="auto"/>
            </w:pPr>
            <w:r>
              <w:rPr>
                <w:rFonts w:ascii="Arial" w:hAnsi="Arial" w:cs="Arial" w:eastAsia="Arial"/>
                <w:color w:val="0E1E3A"/>
                <w:sz w:val="17"/>
                <w:szCs w:val="17"/>
                <w:rtl/>
              </w:rPr>
              <w:t>1.17</w:t>
            </w:r>
          </w:p>
        </w:tc>
        <w:tc>
          <w:tcPr>
            <w:tcW w:type="dxa" w:w="1663"/>
          </w:tcPr>
          <w:p>
            <w:pPr>
              <w:bidi w:val="1"/>
              <w:spacing w:before="0" w:after="0" w:line="264" w:lineRule="auto"/>
            </w:pPr>
            <w:r>
              <w:rPr>
                <w:rFonts w:ascii="Arial" w:hAnsi="Arial" w:cs="Arial" w:eastAsia="Arial"/>
                <w:color w:val="0E1E3A"/>
                <w:sz w:val="17"/>
                <w:szCs w:val="17"/>
                <w:rtl/>
              </w:rPr>
              <w:t>1.49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3</w:t>
            </w:r>
          </w:p>
        </w:tc>
        <w:tc>
          <w:tcPr>
            <w:tcW w:type="dxa" w:w="1663"/>
          </w:tcPr>
          <w:p>
            <w:pPr>
              <w:bidi w:val="1"/>
              <w:spacing w:before="0" w:after="0" w:line="264" w:lineRule="auto"/>
            </w:pPr>
            <w:r>
              <w:rPr>
                <w:rFonts w:ascii="Arial" w:hAnsi="Arial" w:cs="Arial" w:eastAsia="Arial"/>
                <w:color w:val="0E1E3A"/>
                <w:sz w:val="17"/>
                <w:szCs w:val="17"/>
                <w:rtl/>
              </w:rPr>
              <w:t>14.86</w:t>
            </w:r>
          </w:p>
        </w:tc>
        <w:tc>
          <w:tcPr>
            <w:tcW w:type="dxa" w:w="1663"/>
          </w:tcPr>
          <w:p>
            <w:pPr>
              <w:bidi w:val="1"/>
              <w:spacing w:before="0" w:after="0" w:line="264" w:lineRule="auto"/>
            </w:pPr>
            <w:r>
              <w:rPr>
                <w:rFonts w:ascii="Arial" w:hAnsi="Arial" w:cs="Arial" w:eastAsia="Arial"/>
                <w:color w:val="0E1E3A"/>
                <w:sz w:val="17"/>
                <w:szCs w:val="17"/>
                <w:rtl/>
              </w:rPr>
              <w:t>9.69</w:t>
            </w:r>
          </w:p>
        </w:tc>
        <w:tc>
          <w:tcPr>
            <w:tcW w:type="dxa" w:w="1663"/>
          </w:tcPr>
          <w:p>
            <w:pPr>
              <w:bidi w:val="1"/>
              <w:spacing w:before="0" w:after="0" w:line="264" w:lineRule="auto"/>
            </w:pPr>
            <w:r>
              <w:rPr>
                <w:rFonts w:ascii="Arial" w:hAnsi="Arial" w:cs="Arial" w:eastAsia="Arial"/>
                <w:color w:val="0E1E3A"/>
                <w:sz w:val="17"/>
                <w:szCs w:val="17"/>
                <w:rtl/>
              </w:rPr>
              <w:t>8.47</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4</w:t>
            </w:r>
          </w:p>
        </w:tc>
        <w:tc>
          <w:tcPr>
            <w:tcW w:type="dxa" w:w="1663"/>
          </w:tcPr>
          <w:p>
            <w:pPr>
              <w:bidi w:val="1"/>
              <w:spacing w:before="0" w:after="0" w:line="264" w:lineRule="auto"/>
            </w:pPr>
            <w:r>
              <w:rPr>
                <w:rFonts w:ascii="Arial" w:hAnsi="Arial" w:cs="Arial" w:eastAsia="Arial"/>
                <w:color w:val="0E1E3A"/>
                <w:sz w:val="17"/>
                <w:szCs w:val="17"/>
                <w:rtl/>
              </w:rPr>
              <w:t>0.91</w:t>
            </w:r>
          </w:p>
        </w:tc>
        <w:tc>
          <w:tcPr>
            <w:tcW w:type="dxa" w:w="1663"/>
          </w:tcPr>
          <w:p>
            <w:pPr>
              <w:bidi w:val="1"/>
              <w:spacing w:before="0" w:after="0" w:line="264" w:lineRule="auto"/>
            </w:pPr>
            <w:r>
              <w:rPr>
                <w:rFonts w:ascii="Arial" w:hAnsi="Arial" w:cs="Arial" w:eastAsia="Arial"/>
                <w:color w:val="0E1E3A"/>
                <w:sz w:val="17"/>
                <w:szCs w:val="17"/>
                <w:rtl/>
              </w:rPr>
              <w:t>0.89</w:t>
            </w:r>
          </w:p>
        </w:tc>
        <w:tc>
          <w:tcPr>
            <w:tcW w:type="dxa" w:w="1663"/>
          </w:tcPr>
          <w:p>
            <w:pPr>
              <w:bidi w:val="1"/>
              <w:spacing w:before="0" w:after="0" w:line="264" w:lineRule="auto"/>
            </w:pPr>
            <w:r>
              <w:rPr>
                <w:rFonts w:ascii="Arial" w:hAnsi="Arial" w:cs="Arial" w:eastAsia="Arial"/>
                <w:color w:val="0E1E3A"/>
                <w:sz w:val="17"/>
                <w:szCs w:val="17"/>
                <w:rtl/>
              </w:rPr>
              <w:t>0.88</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5</w:t>
            </w:r>
          </w:p>
        </w:tc>
        <w:tc>
          <w:tcPr>
            <w:tcW w:type="dxa" w:w="1663"/>
          </w:tcPr>
          <w:p>
            <w:pPr>
              <w:bidi w:val="1"/>
              <w:spacing w:before="0" w:after="0" w:line="264" w:lineRule="auto"/>
            </w:pPr>
            <w:r>
              <w:rPr>
                <w:rFonts w:ascii="Arial" w:hAnsi="Arial" w:cs="Arial" w:eastAsia="Arial"/>
                <w:color w:val="0E1E3A"/>
                <w:sz w:val="17"/>
                <w:szCs w:val="17"/>
              </w:rPr>
              <w:t>‎1.86%‎</w:t>
            </w:r>
          </w:p>
        </w:tc>
        <w:tc>
          <w:tcPr>
            <w:tcW w:type="dxa" w:w="1663"/>
          </w:tcPr>
          <w:p>
            <w:pPr>
              <w:bidi w:val="1"/>
              <w:spacing w:before="0" w:after="0" w:line="264" w:lineRule="auto"/>
            </w:pPr>
            <w:r>
              <w:rPr>
                <w:rFonts w:ascii="Arial" w:hAnsi="Arial" w:cs="Arial" w:eastAsia="Arial"/>
                <w:color w:val="0E1E3A"/>
                <w:sz w:val="17"/>
                <w:szCs w:val="17"/>
              </w:rPr>
              <w:t>‎0.51%‎</w:t>
            </w:r>
          </w:p>
        </w:tc>
        <w:tc>
          <w:tcPr>
            <w:tcW w:type="dxa" w:w="1663"/>
          </w:tcPr>
          <w:p>
            <w:pPr>
              <w:bidi w:val="1"/>
              <w:spacing w:before="0" w:after="0" w:line="264" w:lineRule="auto"/>
            </w:pPr>
            <w:r>
              <w:rPr>
                <w:rFonts w:ascii="Arial" w:hAnsi="Arial" w:cs="Arial" w:eastAsia="Arial"/>
                <w:color w:val="0E1E3A"/>
                <w:sz w:val="17"/>
                <w:szCs w:val="17"/>
              </w:rPr>
              <w:t>‎0.73%‎</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 6</w:t>
            </w:r>
          </w:p>
        </w:tc>
        <w:tc>
          <w:tcPr>
            <w:tcW w:type="dxa" w:w="1663"/>
          </w:tcPr>
          <w:p>
            <w:pPr>
              <w:bidi w:val="1"/>
              <w:spacing w:before="0" w:after="0" w:line="264" w:lineRule="auto"/>
            </w:pPr>
            <w:r>
              <w:rPr>
                <w:rFonts w:ascii="Arial" w:hAnsi="Arial" w:cs="Arial" w:eastAsia="Arial"/>
                <w:color w:val="0E1E3A"/>
                <w:sz w:val="17"/>
                <w:szCs w:val="17"/>
                <w:rtl/>
              </w:rPr>
              <w:t>0.13</w:t>
            </w:r>
          </w:p>
        </w:tc>
        <w:tc>
          <w:tcPr>
            <w:tcW w:type="dxa" w:w="1663"/>
          </w:tcPr>
          <w:p>
            <w:pPr>
              <w:bidi w:val="1"/>
              <w:spacing w:before="0" w:after="0" w:line="264" w:lineRule="auto"/>
            </w:pPr>
            <w:r>
              <w:rPr>
                <w:rFonts w:ascii="Arial" w:hAnsi="Arial" w:cs="Arial" w:eastAsia="Arial"/>
                <w:color w:val="0E1E3A"/>
                <w:sz w:val="17"/>
                <w:szCs w:val="17"/>
                <w:rtl/>
              </w:rPr>
              <w:t>0.05</w:t>
            </w:r>
          </w:p>
        </w:tc>
        <w:tc>
          <w:tcPr>
            <w:tcW w:type="dxa" w:w="1663"/>
          </w:tcPr>
          <w:p>
            <w:pPr>
              <w:bidi w:val="1"/>
              <w:spacing w:before="0" w:after="0" w:line="264" w:lineRule="auto"/>
            </w:pPr>
            <w:r>
              <w:rPr>
                <w:rFonts w:ascii="Arial" w:hAnsi="Arial" w:cs="Arial" w:eastAsia="Arial"/>
                <w:color w:val="0E1E3A"/>
                <w:sz w:val="17"/>
                <w:szCs w:val="17"/>
                <w:rtl/>
              </w:rPr>
              <w:t>0.09</w:t>
            </w:r>
          </w:p>
        </w:tc>
        <w:tc>
          <w:tcPr>
            <w:tcW w:type="dxa" w:w="1663"/>
          </w:tcPr>
          <w:p>
            <w:pPr>
              <w:bidi w:val="1"/>
              <w:spacing w:before="0" w:after="0" w:line="264" w:lineRule="auto"/>
            </w:pPr>
            <w:r>
              <w:rPr>
                <w:rFonts w:ascii="Arial" w:hAnsi="Arial" w:cs="Arial" w:eastAsia="Arial"/>
                <w:color w:val="0E1E3A"/>
                <w:sz w:val="17"/>
                <w:szCs w:val="17"/>
                <w:rtl/>
              </w:rPr>
              <w:t>لا ينطبق</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الانحراف المعياري هو مقياس للمخاطر، ويتم حسابه على أنه التذبذب بين العوائد على مدى فترة زمنية. وكلما انخفض التقلب، كانت مجموعة العوائد أكثر تجانسا.</w:t>
      </w:r>
      <w:r>
        <w:br/>
      </w:r>
      <w:r>
        <w:rPr>
          <w:rFonts w:ascii="Arial" w:hAnsi="Arial" w:cs="Arial" w:eastAsia="Arial"/>
          <w:color w:val="5A6478"/>
          <w:sz w:val="17"/>
          <w:szCs w:val="17"/>
          <w:rtl/>
        </w:rPr>
        <w:t>2.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r>
        <w:br/>
      </w:r>
      <w:r>
        <w:rPr>
          <w:rFonts w:ascii="Arial" w:hAnsi="Arial" w:cs="Arial" w:eastAsia="Arial"/>
          <w:color w:val="5A6478"/>
          <w:sz w:val="17"/>
          <w:szCs w:val="17"/>
          <w:rtl/>
        </w:rPr>
        <w:t>3. خطأ التتبع هو مقياس للمخاطر ويتم حسابه على أنه الانحراف المعياري بين عائد مدير الصندوق وعائد المؤشر. وكلما انخفض خطأ التتبع، كلما انحرف مدير الصندوق عن المؤشر.</w:t>
      </w:r>
      <w:r>
        <w:br/>
      </w:r>
      <w:r>
        <w:rPr>
          <w:rFonts w:ascii="Arial" w:hAnsi="Arial" w:cs="Arial" w:eastAsia="Arial"/>
          <w:color w:val="5A6478"/>
          <w:sz w:val="17"/>
          <w:szCs w:val="17"/>
          <w:rtl/>
        </w:rPr>
        <w:t>4.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5. ألفا يقيس أي تفوق حققه أداء الصندوق مقارنة بأداء المؤشر المرتبط به.</w:t>
      </w:r>
      <w:r>
        <w:br/>
      </w:r>
      <w:r>
        <w:rPr>
          <w:rFonts w:ascii="Arial" w:hAnsi="Arial" w:cs="Arial" w:eastAsia="Arial"/>
          <w:color w:val="5A6478"/>
          <w:sz w:val="17"/>
          <w:szCs w:val="17"/>
          <w:rtl/>
        </w:rPr>
        <w:t>6. مؤشر المعلومات هو عبارة عن مقياس أداء معدل المخاطر ويتم حسابه على أنه العائد النشط لمدير الصندوق مقسوما على خطأ التتبع الخاص به. و كلما ارتفع معدل المعلومات، كلما ازدادت قدرة مدير الصندوق على تحقيق عوائد زائدة لكل وحدة من المخاطر الزائدة.</w:t>
      </w:r>
      <w:r>
        <w:br/>
      </w:r>
      <w:r>
        <w:rPr>
          <w:rFonts w:ascii="Arial" w:hAnsi="Arial" w:cs="Arial" w:eastAsia="Arial"/>
          <w:color w:val="5A6478"/>
          <w:sz w:val="17"/>
          <w:szCs w:val="17"/>
          <w:rtl/>
        </w:rPr>
        <w:t>تم احتساب معايير الأداء والمخاطر بناء على صافي قيمة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59"/>
            <wp:cNvGraphicFramePr>
              <a:graphicFrameLocks noChangeAspect="1"/>
            </wp:cNvGraphicFramePr>
            <a:graphic>
              <a:graphicData uri="http://schemas.openxmlformats.org/drawingml/2006/picture">
                <pic:pic>
                  <pic:nvPicPr>
                    <pic:cNvPr id="0" name="ico_c788ceab6c6867ef93d8dd6b26beef99.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وأية تغيرات أساسية أو غير أساسية تؤثر على عمل الصندوق</w:t>
      </w:r>
    </w:p>
    <w:p>
      <w:pPr>
        <w:bidi w:val="1"/>
        <w:spacing w:before="0" w:after="80" w:line="312" w:lineRule="auto"/>
      </w:pPr>
      <w:r>
        <w:rPr>
          <w:rFonts w:ascii="Arial" w:hAnsi="Arial" w:cs="Arial" w:eastAsia="Arial"/>
          <w:color w:val="0E1E3A"/>
          <w:sz w:val="20"/>
          <w:szCs w:val="20"/>
          <w:rtl/>
        </w:rPr>
        <w:t xml:space="preserve">في العام الماضي، وافق مالكو الوحدات خلال اجتماع الجمعية العمومية المنعقد في 19 يوليو 2023م على توصية مدير الصندوق بإعادة شراء ما يصل إلى </w:t>
      </w:r>
      <w:r>
        <w:rPr>
          <w:rFonts w:ascii="Arial" w:hAnsi="Arial" w:cs="Arial" w:eastAsia="Arial"/>
          <w:color w:val="0E1E3A"/>
          <w:sz w:val="20"/>
          <w:szCs w:val="20"/>
        </w:rPr>
        <w:t>‎50%‎</w:t>
      </w:r>
      <w:r>
        <w:rPr>
          <w:rFonts w:ascii="Arial" w:hAnsi="Arial" w:cs="Arial" w:eastAsia="Arial"/>
          <w:color w:val="0E1E3A"/>
          <w:sz w:val="20"/>
          <w:szCs w:val="20"/>
          <w:rtl/>
        </w:rPr>
        <w:t xml:space="preserve"> من مجموع الوحدات المتداولة بغرض إلغائها، وانتهت فترة الموافقة في 18 يوليو 2024م وبحلول نهاية فترة الموافقة، أعاد مدير الصندوق شراء </w:t>
      </w:r>
      <w:r>
        <w:rPr>
          <w:rFonts w:ascii="Arial" w:hAnsi="Arial" w:cs="Arial" w:eastAsia="Arial"/>
          <w:color w:val="0E1E3A"/>
          <w:sz w:val="20"/>
          <w:szCs w:val="20"/>
        </w:rPr>
        <w:t>‎30.02%‎</w:t>
      </w:r>
      <w:r>
        <w:rPr>
          <w:rFonts w:ascii="Arial" w:hAnsi="Arial" w:cs="Arial" w:eastAsia="Arial"/>
          <w:color w:val="0E1E3A"/>
          <w:sz w:val="20"/>
          <w:szCs w:val="20"/>
          <w:rtl/>
        </w:rPr>
        <w:t xml:space="preserve"> من وحدات الصندوق.</w:t>
      </w:r>
    </w:p>
    <w:p>
      <w:pPr>
        <w:bidi w:val="1"/>
        <w:spacing w:before="0" w:after="80" w:line="312" w:lineRule="auto"/>
      </w:pPr>
      <w:r>
        <w:rPr>
          <w:rFonts w:ascii="Arial" w:hAnsi="Arial" w:cs="Arial" w:eastAsia="Arial"/>
          <w:color w:val="0E1E3A"/>
          <w:sz w:val="20"/>
          <w:szCs w:val="20"/>
          <w:rtl/>
        </w:rPr>
        <w:t xml:space="preserve">في 29 أغسطس 2024م، وافق حاملو الوحدات على إعادة شراء ما يصل إلى 20 مليون وحدة، أو </w:t>
      </w:r>
      <w:r>
        <w:rPr>
          <w:rFonts w:ascii="Arial" w:hAnsi="Arial" w:cs="Arial" w:eastAsia="Arial"/>
          <w:color w:val="0E1E3A"/>
          <w:sz w:val="20"/>
          <w:szCs w:val="20"/>
        </w:rPr>
        <w:t>‎20%‎</w:t>
      </w:r>
      <w:r>
        <w:rPr>
          <w:rFonts w:ascii="Arial" w:hAnsi="Arial" w:cs="Arial" w:eastAsia="Arial"/>
          <w:color w:val="0E1E3A"/>
          <w:sz w:val="20"/>
          <w:szCs w:val="20"/>
          <w:rtl/>
        </w:rPr>
        <w:t xml:space="preserve"> من إجمالي وحدات الصندوق عند الطرح خلال فترة 12 شهرا، بالإضافة على تعديل سياسة توزيع الأرباح، ومنح مدير الصندوق الحق في تعيين صانع 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6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الأسواق العالمية</w:t>
      </w:r>
    </w:p>
    <w:p>
      <w:pPr>
        <w:bidi w:val="1"/>
        <w:spacing w:before="0" w:after="80" w:line="312" w:lineRule="auto"/>
      </w:pPr>
      <w:r>
        <w:rPr>
          <w:rFonts w:ascii="Arial" w:hAnsi="Arial" w:cs="Arial" w:eastAsia="Arial"/>
          <w:color w:val="0E1E3A"/>
          <w:sz w:val="20"/>
          <w:szCs w:val="20"/>
          <w:rtl/>
        </w:rPr>
        <w:t>في الربع الثالث من العام 2024م، شهدت أسواق الأسهم العالمية بعض التقلبات. ومع ذلك، ساعد النمو القوي لألرباح، والنمو الإيجابي للناتج المحلي الإجمالي الأمريكي، وانخفاض التضخم، وخفض أسعار الفائدة بمقدار 50 نقطة أساس من قبل بنك الاحتياطي الفيدرالي الأمريكي في تخفيف المخاوف بشأن الركود القادم. ونتيجة لذلك، سجلت المؤشرات الرئيسية مكاسب، حيث ارتفع مؤشر "الخبير للأسهم العالمية" بنسبة 3.52 ٪ للربع، و 15.16 ٪ منذ بداية العام.</w:t>
      </w:r>
    </w:p>
    <w:p>
      <w:pPr>
        <w:bidi w:val="1"/>
        <w:spacing w:before="0" w:after="80" w:line="312" w:lineRule="auto"/>
      </w:pPr>
      <w:r>
        <w:rPr>
          <w:rFonts w:ascii="Arial" w:hAnsi="Arial" w:cs="Arial" w:eastAsia="Arial"/>
          <w:color w:val="0E1E3A"/>
          <w:sz w:val="20"/>
          <w:szCs w:val="20"/>
          <w:rtl/>
        </w:rPr>
        <w:t>من المتوقع أن تدعم تخفيضات أسعار الفائدة من قبل بنك الاحتياطي الفيدرالي الأسواق بشكل أكبر في الأرباع القادمة. وفي الوقت نفسه، أعلنت الصين عن حزمة تحفيز رئيسية لتعزيز نموها الاقتصادي.</w:t>
      </w:r>
    </w:p>
    <w:p>
      <w:pPr>
        <w:bidi w:val="1"/>
        <w:spacing w:before="0" w:after="80" w:line="312" w:lineRule="auto"/>
      </w:pPr>
      <w:r>
        <w:rPr>
          <w:rFonts w:ascii="Arial" w:hAnsi="Arial" w:cs="Arial" w:eastAsia="Arial"/>
          <w:color w:val="0E1E3A"/>
          <w:sz w:val="20"/>
          <w:szCs w:val="20"/>
          <w:rtl/>
        </w:rPr>
        <w:t>ووفقا لتوقعات صندوق النقد الدولي الاقتصادية العالمية لشهر يوليو 2024م، من المتوقع أن يبلغ نمو الناتج المحلي الإجمالي العالمي 3.3 ٪، مع نمو الاقتصادات المتقدمة بنسبة 1.8 ٪، والأسواق الناشئة بنسبة 4.3 ٪ في العام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7" name="Picture 906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الوحدة للصندوق مقارنة مع المؤشر الاسترشادي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96541"/>
            <wp:docPr id="28" name="Picture 9062"/>
            <wp:cNvGraphicFramePr>
              <a:graphicFrameLocks noChangeAspect="1"/>
            </wp:cNvGraphicFramePr>
            <a:graphic>
              <a:graphicData uri="http://schemas.openxmlformats.org/drawingml/2006/picture">
                <pic:pic>
                  <pic:nvPicPr>
                    <pic:cNvPr id="0" name="x7.j.jpg"/>
                    <pic:cNvPicPr/>
                  </pic:nvPicPr>
                  <pic:blipFill>
                    <a:blip r:embed="rId25"/>
                    <a:stretch>
                      <a:fillRect/>
                    </a:stretch>
                  </pic:blipFill>
                  <pic:spPr>
                    <a:xfrm>
                      <a:off x="0" y="0"/>
                      <a:ext cx="6336000" cy="319654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سبتمبر 2024م.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9" name="Picture 9063"/>
            <wp:cNvGraphicFramePr>
              <a:graphicFrameLocks noChangeAspect="1"/>
            </wp:cNvGraphicFramePr>
            <a:graphic>
              <a:graphicData uri="http://schemas.openxmlformats.org/drawingml/2006/picture">
                <pic:pic>
                  <pic:nvPicPr>
                    <pic:cNvPr id="0" name="ico_8eba3796ad497c7a142d47da7c90fea0.png"/>
                    <pic:cNvPicPr/>
                  </pic:nvPicPr>
                  <pic:blipFill>
                    <a:blip r:embed="rId26"/>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0" name="Picture 9064"/>
            <wp:cNvGraphicFramePr>
              <a:graphicFrameLocks noChangeAspect="1"/>
            </wp:cNvGraphicFramePr>
            <a:graphic>
              <a:graphicData uri="http://schemas.openxmlformats.org/drawingml/2006/picture">
                <pic:pic>
                  <pic:nvPicPr>
                    <pic:cNvPr id="0" name="ico_31799530e5dd3dc5b4ca7f2d37945432.png"/>
                    <pic:cNvPicPr/>
                  </pic:nvPicPr>
                  <pic:blipFill>
                    <a:blip r:embed="rId2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jpg"/><Relationship Id="rId26" Type="http://schemas.openxmlformats.org/officeDocument/2006/relationships/image" Target="media/image14.png"/><Relationship Id="rId27"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الثالث 2024م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