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5"/>
            <wp:cNvGraphicFramePr/>
            <a:graphic>
              <a:graphicData uri="http://schemas.openxmlformats.org/drawingml/2006/picture">
                <pic:pic>
                  <pic:nvPicPr>
                    <pic:cNvPr id="9035" name="banner9035.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11.9375</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834,620,405</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AT INCEPTION</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834,620,405</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832,246,524</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69,895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2,652,568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0.31%</w:t>
            </w:r>
          </w:p>
        </w:tc>
      </w:tr>
    </w:tbl>
    <w:p>
      <w:pPr>
        <w:spacing w:before="0" w:after="40" w:line="300" w:lineRule="auto"/>
      </w:pPr>
    </w:p>
    <w:p>
      <w:pPr>
        <w:spacing w:before="0" w:after="80" w:line="312" w:lineRule="auto"/>
      </w:pPr>
      <w:r>
        <w:rPr>
          <w:rFonts w:ascii="Arial" w:hAnsi="Arial" w:cs="Arial" w:eastAsia="Arial"/>
          <w:color w:val="5A6478"/>
          <w:sz w:val="17"/>
          <w:szCs w:val="17"/>
        </w:rPr>
        <w:t>*As of 30 September 2024 (Unaudited).</w:t>
      </w:r>
      <w:r>
        <w:br/>
      </w:r>
      <w:r>
        <w:rPr>
          <w:rFonts w:ascii="Arial" w:hAnsi="Arial" w:cs="Arial" w:eastAsia="Arial"/>
          <w:color w:val="5A6478"/>
          <w:sz w:val="17"/>
          <w:szCs w:val="17"/>
        </w:rPr>
        <w:t>**Fund's expenses and fees are total Fund expenses during the reporting quarter, excluding financing costs.</w:t>
      </w:r>
      <w:r>
        <w:br/>
      </w:r>
      <w:r>
        <w:rPr>
          <w:rFonts w:ascii="Arial" w:hAnsi="Arial" w:cs="Arial" w:eastAsia="Arial"/>
          <w:color w:val="5A6478"/>
          <w:sz w:val="17"/>
          <w:szCs w:val="17"/>
        </w:rPr>
        <w:t>***Fund's costs are all Fund's fees and expenses, including financing costs.</w:t>
      </w:r>
      <w:r>
        <w:br/>
      </w:r>
      <w:r>
        <w:rPr>
          <w:rFonts w:ascii="Arial" w:hAnsi="Arial" w:cs="Arial" w:eastAsia="Arial"/>
          <w:color w:val="5A6478"/>
          <w:sz w:val="17"/>
          <w:szCs w:val="17"/>
        </w:rPr>
        <w:t>****Fund's average net asset value during the reporting quarter = SAR 848,450,442.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2"/>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4"/>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425946"/>
            <wp:docPr id="12" name="Picture 9046"/>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42594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827,004,490</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5,242,034</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5" name="Picture 9049"/>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 (27 APRIL 2022)</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28 SEPTEMBER 2023*</w:t>
            </w:r>
          </w:p>
        </w:tc>
        <w:tc>
          <w:tcPr>
            <w:tcW w:type="dxa" w:w="6860"/>
          </w:tcPr>
          <w:p>
            <w:pPr>
              <w:spacing w:before="0" w:after="0" w:line="276" w:lineRule="auto"/>
            </w:pPr>
            <w:r>
              <w:rPr>
                <w:rFonts w:ascii="Arial" w:hAnsi="Arial" w:cs="Arial" w:eastAsia="Arial"/>
                <w:b/>
                <w:bCs/>
                <w:color w:val="0E1E3A"/>
                <w:sz w:val="18"/>
                <w:szCs w:val="18"/>
              </w:rPr>
              <w:t>SAR 654,189,890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633,808,698</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642,402,714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621,319,083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572,376,972</w:t>
            </w:r>
          </w:p>
        </w:tc>
      </w:tr>
    </w:tbl>
    <w:p>
      <w:pPr>
        <w:spacing w:before="0" w:after="40" w:line="300" w:lineRule="auto"/>
      </w:pPr>
    </w:p>
    <w:p>
      <w:pPr>
        <w:spacing w:before="0" w:after="80" w:line="312" w:lineRule="auto"/>
      </w:pPr>
      <w:r>
        <w:rPr>
          <w:rFonts w:ascii="Arial" w:hAnsi="Arial" w:cs="Arial" w:eastAsia="Arial"/>
          <w:color w:val="5A6478"/>
          <w:sz w:val="17"/>
          <w:szCs w:val="17"/>
        </w:rPr>
        <w:t>* Excluding Units bought back by the Fund for cancellation (24,371,111 Units) as at 28 September 2023.</w:t>
      </w:r>
      <w:r>
        <w:br/>
      </w:r>
      <w:r>
        <w:rPr>
          <w:rFonts w:ascii="Arial" w:hAnsi="Arial" w:cs="Arial" w:eastAsia="Arial"/>
          <w:color w:val="5A6478"/>
          <w:sz w:val="17"/>
          <w:szCs w:val="17"/>
        </w:rPr>
        <w:t>** Excluding Units bought back by the Fund for cancellation (28,383,198 Units) as at 31 December 2023.</w:t>
      </w:r>
      <w:r>
        <w:br/>
      </w:r>
      <w:r>
        <w:rPr>
          <w:rFonts w:ascii="Arial" w:hAnsi="Arial" w:cs="Arial" w:eastAsia="Arial"/>
          <w:color w:val="5A6478"/>
          <w:sz w:val="17"/>
          <w:szCs w:val="17"/>
        </w:rPr>
        <w:t>*** Excluding Units bought back by the Fund for cancellation (28,383,198 Units) as at 31 March 2024</w:t>
      </w:r>
      <w:r>
        <w:br/>
      </w:r>
      <w:r>
        <w:rPr>
          <w:rFonts w:ascii="Arial" w:hAnsi="Arial" w:cs="Arial" w:eastAsia="Arial"/>
          <w:color w:val="5A6478"/>
          <w:sz w:val="17"/>
          <w:szCs w:val="17"/>
        </w:rPr>
        <w:t>**** Excluding Units bought back by the Fund for cancellation (29,475,700 Units) as at 30 June 2024</w:t>
      </w:r>
      <w:r>
        <w:br/>
      </w:r>
      <w:r>
        <w:rPr>
          <w:rFonts w:ascii="Arial" w:hAnsi="Arial" w:cs="Arial" w:eastAsia="Arial"/>
          <w:color w:val="5A6478"/>
          <w:sz w:val="17"/>
          <w:szCs w:val="17"/>
        </w:rPr>
        <w:t>***** Units bought back by the Fund for cancellation (30,025,851 Units) were cancelled on 25 July 2024</w:t>
      </w:r>
      <w:r>
        <w:br/>
      </w:r>
      <w:r>
        <w:rPr>
          <w:rFonts w:ascii="Arial" w:hAnsi="Arial" w:cs="Arial" w:eastAsia="Arial"/>
          <w:color w:val="5A6478"/>
          <w:sz w:val="17"/>
          <w:szCs w:val="17"/>
        </w:rPr>
        <w:t>***** Excluding Units bought back by the Fund for cancellation (257,100 Units) as at 30 September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(30 SEPTEMBER 2024)</w:t>
            </w:r>
          </w:p>
        </w:tc>
        <w:tc>
          <w:tcPr>
            <w:tcW w:type="dxa" w:w="6860"/>
          </w:tcPr>
          <w:p>
            <w:pPr>
              <w:spacing w:before="0" w:after="0" w:line="276" w:lineRule="auto"/>
            </w:pPr>
            <w:r>
              <w:rPr>
                <w:rFonts w:ascii="Arial" w:hAnsi="Arial" w:cs="Arial" w:eastAsia="Arial"/>
                <w:b/>
                <w:bCs/>
                <w:color w:val="0E1E3A"/>
                <w:sz w:val="18"/>
                <w:szCs w:val="18"/>
              </w:rPr>
              <w:t>SAR 8.21</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(30 JUNE 2024 TO 30 SEPTEMBER 2024)</w:t>
            </w:r>
          </w:p>
        </w:tc>
        <w:tc>
          <w:tcPr>
            <w:tcW w:type="dxa" w:w="6860"/>
          </w:tcPr>
          <w:p>
            <w:pPr>
              <w:spacing w:before="0" w:after="0" w:line="276" w:lineRule="auto"/>
            </w:pPr>
            <w:r>
              <w:rPr>
                <w:rFonts w:ascii="Arial" w:hAnsi="Arial" w:cs="Arial" w:eastAsia="Arial"/>
                <w:b/>
                <w:bCs/>
                <w:color w:val="0E1E3A"/>
                <w:sz w:val="18"/>
                <w:szCs w:val="18"/>
              </w:rPr>
              <w:t>-6.81%</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Q3 2024)</w:t>
            </w:r>
          </w:p>
        </w:tc>
        <w:tc>
          <w:tcPr>
            <w:tcW w:type="dxa" w:w="6860"/>
          </w:tcPr>
          <w:p>
            <w:pPr>
              <w:spacing w:before="0" w:after="0" w:line="276" w:lineRule="auto"/>
            </w:pPr>
            <w:r>
              <w:rPr>
                <w:rFonts w:ascii="Arial" w:hAnsi="Arial" w:cs="Arial" w:eastAsia="Arial"/>
                <w:b/>
                <w:bCs/>
                <w:color w:val="0E1E3A"/>
                <w:sz w:val="18"/>
                <w:szCs w:val="18"/>
              </w:rPr>
              <w:t>-17.90%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TOTAL RETURN SINCE THE LISTING DATE (FROM THE LISTING DATE TO END Q3 2024)</w:t>
            </w:r>
          </w:p>
        </w:tc>
        <w:tc>
          <w:tcPr>
            <w:tcW w:type="dxa" w:w="6860"/>
          </w:tcPr>
          <w:p>
            <w:pPr>
              <w:spacing w:before="0" w:after="0" w:line="276" w:lineRule="auto"/>
            </w:pPr>
            <w:r>
              <w:rPr>
                <w:rFonts w:ascii="Arial" w:hAnsi="Arial" w:cs="Arial" w:eastAsia="Arial"/>
                <w:b/>
                <w:bCs/>
                <w:color w:val="0E1E3A"/>
                <w:sz w:val="18"/>
                <w:szCs w:val="18"/>
              </w:rPr>
              <w:t>0.17%</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9.38</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8.01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(AS AT 30 SEPTEMBER 2024) *</w:t>
            </w:r>
          </w:p>
        </w:tc>
        <w:tc>
          <w:tcPr>
            <w:tcW w:type="dxa" w:w="6860"/>
          </w:tcPr>
          <w:p>
            <w:pPr>
              <w:spacing w:before="0" w:after="0" w:line="276" w:lineRule="auto"/>
            </w:pPr>
            <w:r>
              <w:rPr>
                <w:rFonts w:ascii="Arial" w:hAnsi="Arial" w:cs="Arial" w:eastAsia="Arial"/>
                <w:b/>
                <w:bCs/>
                <w:color w:val="0E1E3A"/>
                <w:sz w:val="18"/>
                <w:szCs w:val="18"/>
              </w:rPr>
              <w:t>69,717,049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After deducting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2"/>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DURING THE REPORTING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0.60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41,984,489</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0.60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6.00%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MARKET UNIT PRICE</w:t>
            </w:r>
          </w:p>
        </w:tc>
        <w:tc>
          <w:tcPr>
            <w:tcW w:type="dxa" w:w="6860"/>
          </w:tcPr>
          <w:p>
            <w:pPr>
              <w:spacing w:before="0" w:after="0" w:line="276" w:lineRule="auto"/>
            </w:pPr>
            <w:r>
              <w:rPr>
                <w:rFonts w:ascii="Arial" w:hAnsi="Arial" w:cs="Arial" w:eastAsia="Arial"/>
                <w:b/>
                <w:bCs/>
                <w:color w:val="0E1E3A"/>
                <w:sz w:val="18"/>
                <w:szCs w:val="18"/>
              </w:rPr>
              <w:t>7.31%</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2,209,263</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GAIN ON THE FUND'S INVESTMENTS</w:t>
            </w:r>
          </w:p>
        </w:tc>
        <w:tc>
          <w:tcPr>
            <w:tcW w:type="dxa" w:w="6860"/>
          </w:tcPr>
          <w:p>
            <w:pPr>
              <w:spacing w:before="0" w:after="0" w:line="276" w:lineRule="auto"/>
            </w:pPr>
            <w:r>
              <w:rPr>
                <w:rFonts w:ascii="Arial" w:hAnsi="Arial" w:cs="Arial" w:eastAsia="Arial"/>
                <w:b/>
                <w:bCs/>
                <w:color w:val="0E1E3A"/>
                <w:sz w:val="18"/>
                <w:szCs w:val="18"/>
              </w:rPr>
              <w:t>SAR 3,274,967</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GAIN ON THE FUND'S INVESTMENTS</w:t>
            </w:r>
          </w:p>
        </w:tc>
        <w:tc>
          <w:tcPr>
            <w:tcW w:type="dxa" w:w="6860"/>
          </w:tcPr>
          <w:p>
            <w:pPr>
              <w:spacing w:before="0" w:after="0" w:line="276" w:lineRule="auto"/>
            </w:pPr>
            <w:r>
              <w:rPr>
                <w:rFonts w:ascii="Arial" w:hAnsi="Arial" w:cs="Arial" w:eastAsia="Arial"/>
                <w:b/>
                <w:bCs/>
                <w:color w:val="0E1E3A"/>
                <w:sz w:val="18"/>
                <w:szCs w:val="18"/>
              </w:rPr>
              <w:t>SAR 22,627,420</w:t>
            </w:r>
          </w:p>
        </w:tc>
      </w:tr>
      <w:tr>
        <w:tc>
          <w:tcPr>
            <w:tcW w:type="dxa" w:w="3118"/>
            <w:shd w:val="clear" w:color="auto" w:fill="F3F6FB"/>
          </w:tcPr>
          <w:p>
            <w:pPr>
              <w:spacing w:before="0" w:after="0" w:line="276" w:lineRule="auto"/>
            </w:pPr>
            <w:r>
              <w:rPr>
                <w:rFonts w:ascii="Arial" w:hAnsi="Arial" w:cs="Arial" w:eastAsia="Arial"/>
                <w:color w:val="5A6478"/>
                <w:sz w:val="18"/>
                <w:szCs w:val="18"/>
              </w:rPr>
              <w:t>LOSS FROM FOREIGN CURRENCY RATE DIFFERENCES</w:t>
            </w:r>
          </w:p>
        </w:tc>
        <w:tc>
          <w:tcPr>
            <w:tcW w:type="dxa" w:w="6860"/>
          </w:tcPr>
          <w:p>
            <w:pPr>
              <w:spacing w:before="0" w:after="0" w:line="276" w:lineRule="auto"/>
            </w:pPr>
            <w:r>
              <w:rPr>
                <w:rFonts w:ascii="Arial" w:hAnsi="Arial" w:cs="Arial" w:eastAsia="Arial"/>
                <w:b/>
                <w:bCs/>
                <w:color w:val="0E1E3A"/>
                <w:sz w:val="18"/>
                <w:szCs w:val="18"/>
              </w:rPr>
              <w:t>SAR (145,023)</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27,966,627</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30 SEPTEMBER 2024</w:t>
            </w:r>
          </w:p>
        </w:tc>
        <w:tc>
          <w:tcPr>
            <w:tcW w:type="dxa" w:w="6860"/>
          </w:tcPr>
          <w:p>
            <w:pPr>
              <w:spacing w:before="0" w:after="0" w:line="276" w:lineRule="auto"/>
            </w:pPr>
            <w:r>
              <w:rPr>
                <w:rFonts w:ascii="Arial" w:hAnsi="Arial" w:cs="Arial" w:eastAsia="Arial"/>
                <w:b/>
                <w:bCs/>
                <w:color w:val="0E1E3A"/>
                <w:sz w:val="18"/>
                <w:szCs w:val="18"/>
              </w:rPr>
              <w:t>4.89%</w:t>
            </w:r>
          </w:p>
        </w:tc>
      </w:tr>
    </w:tbl>
    <w:p>
      <w:pPr>
        <w:spacing w:before="0" w:after="40" w:line="300" w:lineRule="auto"/>
      </w:pPr>
    </w:p>
    <w:p>
      <w:pPr>
        <w:spacing w:before="0" w:after="80" w:line="312" w:lineRule="auto"/>
      </w:pPr>
      <w:r>
        <w:rPr>
          <w:rFonts w:ascii="Arial" w:hAnsi="Arial" w:cs="Arial" w:eastAsia="Arial"/>
          <w:color w:val="5A6478"/>
          <w:sz w:val="17"/>
          <w:szCs w:val="17"/>
        </w:rPr>
        <w:t>* The dividend distribution policy will be updated after obtaining Capital Market Authority approval.</w:t>
      </w:r>
      <w:r>
        <w:br/>
      </w:r>
      <w:r>
        <w:rPr>
          <w:rFonts w:ascii="Arial" w:hAnsi="Arial" w:cs="Arial" w:eastAsia="Arial"/>
          <w:color w:val="5A6478"/>
          <w:sz w:val="17"/>
          <w:szCs w:val="17"/>
        </w:rPr>
        <w:t>** Number of Units as at the dividend distribution date was 69,974,149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39.45%</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21.81x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12.1372</w:t>
            </w:r>
          </w:p>
        </w:tc>
        <w:tc>
          <w:tcPr>
            <w:tcW w:type="dxa" w:w="3326"/>
          </w:tcPr>
          <w:p>
            <w:pPr>
              <w:spacing w:before="0" w:after="0" w:line="264" w:lineRule="auto"/>
            </w:pPr>
            <w:r>
              <w:rPr>
                <w:rFonts w:ascii="Arial" w:hAnsi="Arial" w:cs="Arial" w:eastAsia="Arial"/>
                <w:color w:val="0E1E3A"/>
                <w:sz w:val="17"/>
                <w:szCs w:val="17"/>
              </w:rPr>
              <w:t>119.0440</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11.9375 **</w:t>
            </w:r>
          </w:p>
        </w:tc>
        <w:tc>
          <w:tcPr>
            <w:tcW w:type="dxa" w:w="3326"/>
          </w:tcPr>
          <w:p>
            <w:pPr>
              <w:spacing w:before="0" w:after="0" w:line="264" w:lineRule="auto"/>
            </w:pPr>
            <w:r>
              <w:rPr>
                <w:rFonts w:ascii="Arial" w:hAnsi="Arial" w:cs="Arial" w:eastAsia="Arial"/>
                <w:color w:val="0E1E3A"/>
                <w:sz w:val="17"/>
                <w:szCs w:val="17"/>
              </w:rPr>
              <w:t>123.2346</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-1.65%</w:t>
            </w:r>
          </w:p>
        </w:tc>
        <w:tc>
          <w:tcPr>
            <w:tcW w:type="dxa" w:w="3326"/>
          </w:tcPr>
          <w:p>
            <w:pPr>
              <w:spacing w:before="0" w:after="0" w:line="264" w:lineRule="auto"/>
            </w:pPr>
            <w:r>
              <w:rPr>
                <w:rFonts w:ascii="Arial" w:hAnsi="Arial" w:cs="Arial" w:eastAsia="Arial"/>
                <w:color w:val="0E1E3A"/>
                <w:sz w:val="17"/>
                <w:szCs w:val="17"/>
              </w:rPr>
              <w:t>3.52%</w:t>
            </w:r>
          </w:p>
        </w:tc>
      </w:tr>
    </w:tbl>
    <w:p>
      <w:pPr>
        <w:spacing w:before="0" w:after="40" w:line="300" w:lineRule="auto"/>
      </w:pPr>
    </w:p>
    <w:p>
      <w:pPr>
        <w:spacing w:before="0" w:after="80" w:line="312" w:lineRule="auto"/>
      </w:pPr>
      <w:r>
        <w:rPr>
          <w:rFonts w:ascii="Arial" w:hAnsi="Arial" w:cs="Arial" w:eastAsia="Arial"/>
          <w:color w:val="5A6478"/>
          <w:sz w:val="17"/>
          <w:szCs w:val="17"/>
        </w:rPr>
        <w:t>*NAV/Unit excluding dividend distributions for the specified period.</w:t>
      </w:r>
      <w:r>
        <w:br/>
      </w:r>
      <w:r>
        <w:rPr>
          <w:rFonts w:ascii="Arial" w:hAnsi="Arial" w:cs="Arial" w:eastAsia="Arial"/>
          <w:color w:val="5A6478"/>
          <w:sz w:val="17"/>
          <w:szCs w:val="17"/>
        </w:rPr>
        <w:t>** After payment of dividend distributions for H1 2024 during Q3 2024 at a rate of SAR 0.60 per Unit.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3.58%</w:t>
            </w:r>
          </w:p>
        </w:tc>
        <w:tc>
          <w:tcPr>
            <w:tcW w:type="dxa" w:w="1663"/>
          </w:tcPr>
          <w:p>
            <w:pPr>
              <w:spacing w:before="0" w:after="0" w:line="264" w:lineRule="auto"/>
            </w:pPr>
            <w:r>
              <w:rPr>
                <w:rFonts w:ascii="Arial" w:hAnsi="Arial" w:cs="Arial" w:eastAsia="Arial"/>
                <w:color w:val="0E1E3A"/>
                <w:sz w:val="17"/>
                <w:szCs w:val="17"/>
              </w:rPr>
              <w:t>15.38%</w:t>
            </w:r>
          </w:p>
        </w:tc>
        <w:tc>
          <w:tcPr>
            <w:tcW w:type="dxa" w:w="1663"/>
          </w:tcPr>
          <w:p>
            <w:pPr>
              <w:spacing w:before="0" w:after="0" w:line="264" w:lineRule="auto"/>
            </w:pPr>
            <w:r>
              <w:rPr>
                <w:rFonts w:ascii="Arial" w:hAnsi="Arial" w:cs="Arial" w:eastAsia="Arial"/>
                <w:color w:val="0E1E3A"/>
                <w:sz w:val="17"/>
                <w:szCs w:val="17"/>
              </w:rPr>
              <w:t>24.76%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3.52%</w:t>
            </w:r>
          </w:p>
        </w:tc>
        <w:tc>
          <w:tcPr>
            <w:tcW w:type="dxa" w:w="1663"/>
          </w:tcPr>
          <w:p>
            <w:pPr>
              <w:spacing w:before="0" w:after="0" w:line="264" w:lineRule="auto"/>
            </w:pPr>
            <w:r>
              <w:rPr>
                <w:rFonts w:ascii="Arial" w:hAnsi="Arial" w:cs="Arial" w:eastAsia="Arial"/>
                <w:color w:val="0E1E3A"/>
                <w:sz w:val="17"/>
                <w:szCs w:val="17"/>
              </w:rPr>
              <w:t>15.16%</w:t>
            </w:r>
          </w:p>
        </w:tc>
        <w:tc>
          <w:tcPr>
            <w:tcW w:type="dxa" w:w="1663"/>
          </w:tcPr>
          <w:p>
            <w:pPr>
              <w:spacing w:before="0" w:after="0" w:line="264" w:lineRule="auto"/>
            </w:pPr>
            <w:r>
              <w:rPr>
                <w:rFonts w:ascii="Arial" w:hAnsi="Arial" w:cs="Arial" w:eastAsia="Arial"/>
                <w:color w:val="0E1E3A"/>
                <w:sz w:val="17"/>
                <w:szCs w:val="17"/>
              </w:rPr>
              <w:t>23.98%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0.06%</w:t>
            </w:r>
          </w:p>
        </w:tc>
        <w:tc>
          <w:tcPr>
            <w:tcW w:type="dxa" w:w="1663"/>
          </w:tcPr>
          <w:p>
            <w:pPr>
              <w:spacing w:before="0" w:after="0" w:line="264" w:lineRule="auto"/>
            </w:pPr>
            <w:r>
              <w:rPr>
                <w:rFonts w:ascii="Arial" w:hAnsi="Arial" w:cs="Arial" w:eastAsia="Arial"/>
                <w:color w:val="0E1E3A"/>
                <w:sz w:val="17"/>
                <w:szCs w:val="17"/>
              </w:rPr>
              <w:t>0.22%</w:t>
            </w:r>
          </w:p>
        </w:tc>
        <w:tc>
          <w:tcPr>
            <w:tcW w:type="dxa" w:w="1663"/>
          </w:tcPr>
          <w:p>
            <w:pPr>
              <w:spacing w:before="0" w:after="0" w:line="264" w:lineRule="auto"/>
            </w:pPr>
            <w:r>
              <w:rPr>
                <w:rFonts w:ascii="Arial" w:hAnsi="Arial" w:cs="Arial" w:eastAsia="Arial"/>
                <w:color w:val="0E1E3A"/>
                <w:sz w:val="17"/>
                <w:szCs w:val="17"/>
              </w:rPr>
              <w:t>0.78%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 (Including dividend distributions of SAR 0.60 during the third quarter).</w:t>
      </w:r>
      <w:r>
        <w:br/>
      </w:r>
      <w:r>
        <w:rPr>
          <w:rFonts w:ascii="Arial" w:hAnsi="Arial" w:cs="Arial" w:eastAsia="Arial"/>
          <w:color w:val="5A6478"/>
          <w:sz w:val="17"/>
          <w:szCs w:val="17"/>
        </w:rPr>
        <w:t>** For the period from 31 December 2023 to 30 September 2024.</w:t>
      </w:r>
      <w:r>
        <w:br/>
      </w:r>
      <w:r>
        <w:rPr>
          <w:rFonts w:ascii="Arial" w:hAnsi="Arial" w:cs="Arial" w:eastAsia="Arial"/>
          <w:color w:val="5A6478"/>
          <w:sz w:val="17"/>
          <w:szCs w:val="17"/>
        </w:rPr>
        <w:t>*** For the period from 28 September 2023 to 30 September 2024, including cash distributions of SAR 1.715 (0.60 + 0.185 + 0.93).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19.78</w:t>
            </w:r>
          </w:p>
        </w:tc>
        <w:tc>
          <w:tcPr>
            <w:tcW w:type="dxa" w:w="1663"/>
          </w:tcPr>
          <w:p>
            <w:pPr>
              <w:spacing w:before="0" w:after="0" w:line="264" w:lineRule="auto"/>
            </w:pPr>
            <w:r>
              <w:rPr>
                <w:rFonts w:ascii="Arial" w:hAnsi="Arial" w:cs="Arial" w:eastAsia="Arial"/>
                <w:color w:val="0E1E3A"/>
                <w:sz w:val="17"/>
                <w:szCs w:val="17"/>
              </w:rPr>
              <w:t>13.64</w:t>
            </w:r>
          </w:p>
        </w:tc>
        <w:tc>
          <w:tcPr>
            <w:tcW w:type="dxa" w:w="1663"/>
          </w:tcPr>
          <w:p>
            <w:pPr>
              <w:spacing w:before="0" w:after="0" w:line="264" w:lineRule="auto"/>
            </w:pPr>
            <w:r>
              <w:rPr>
                <w:rFonts w:ascii="Arial" w:hAnsi="Arial" w:cs="Arial" w:eastAsia="Arial"/>
                <w:color w:val="0E1E3A"/>
                <w:sz w:val="17"/>
                <w:szCs w:val="17"/>
              </w:rPr>
              <w:t>12.57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0.52</w:t>
            </w:r>
          </w:p>
        </w:tc>
        <w:tc>
          <w:tcPr>
            <w:tcW w:type="dxa" w:w="1663"/>
          </w:tcPr>
          <w:p>
            <w:pPr>
              <w:spacing w:before="0" w:after="0" w:line="264" w:lineRule="auto"/>
            </w:pPr>
            <w:r>
              <w:rPr>
                <w:rFonts w:ascii="Arial" w:hAnsi="Arial" w:cs="Arial" w:eastAsia="Arial"/>
                <w:color w:val="0E1E3A"/>
                <w:sz w:val="17"/>
                <w:szCs w:val="17"/>
              </w:rPr>
              <w:t>1.17</w:t>
            </w:r>
          </w:p>
        </w:tc>
        <w:tc>
          <w:tcPr>
            <w:tcW w:type="dxa" w:w="1663"/>
          </w:tcPr>
          <w:p>
            <w:pPr>
              <w:spacing w:before="0" w:after="0" w:line="264" w:lineRule="auto"/>
            </w:pPr>
            <w:r>
              <w:rPr>
                <w:rFonts w:ascii="Arial" w:hAnsi="Arial" w:cs="Arial" w:eastAsia="Arial"/>
                <w:color w:val="0E1E3A"/>
                <w:sz w:val="17"/>
                <w:szCs w:val="17"/>
              </w:rPr>
              <w:t>1.49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ERROR3</w:t>
            </w:r>
          </w:p>
        </w:tc>
        <w:tc>
          <w:tcPr>
            <w:tcW w:type="dxa" w:w="1663"/>
          </w:tcPr>
          <w:p>
            <w:pPr>
              <w:spacing w:before="0" w:after="0" w:line="264" w:lineRule="auto"/>
            </w:pPr>
            <w:r>
              <w:rPr>
                <w:rFonts w:ascii="Arial" w:hAnsi="Arial" w:cs="Arial" w:eastAsia="Arial"/>
                <w:color w:val="0E1E3A"/>
                <w:sz w:val="17"/>
                <w:szCs w:val="17"/>
              </w:rPr>
              <w:t>14.86</w:t>
            </w:r>
          </w:p>
        </w:tc>
        <w:tc>
          <w:tcPr>
            <w:tcW w:type="dxa" w:w="1663"/>
          </w:tcPr>
          <w:p>
            <w:pPr>
              <w:spacing w:before="0" w:after="0" w:line="264" w:lineRule="auto"/>
            </w:pPr>
            <w:r>
              <w:rPr>
                <w:rFonts w:ascii="Arial" w:hAnsi="Arial" w:cs="Arial" w:eastAsia="Arial"/>
                <w:color w:val="0E1E3A"/>
                <w:sz w:val="17"/>
                <w:szCs w:val="17"/>
              </w:rPr>
              <w:t>9.69</w:t>
            </w:r>
          </w:p>
        </w:tc>
        <w:tc>
          <w:tcPr>
            <w:tcW w:type="dxa" w:w="1663"/>
          </w:tcPr>
          <w:p>
            <w:pPr>
              <w:spacing w:before="0" w:after="0" w:line="264" w:lineRule="auto"/>
            </w:pPr>
            <w:r>
              <w:rPr>
                <w:rFonts w:ascii="Arial" w:hAnsi="Arial" w:cs="Arial" w:eastAsia="Arial"/>
                <w:color w:val="0E1E3A"/>
                <w:sz w:val="17"/>
                <w:szCs w:val="17"/>
              </w:rPr>
              <w:t>8.47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0.91</w:t>
            </w:r>
          </w:p>
        </w:tc>
        <w:tc>
          <w:tcPr>
            <w:tcW w:type="dxa" w:w="1663"/>
          </w:tcPr>
          <w:p>
            <w:pPr>
              <w:spacing w:before="0" w:after="0" w:line="264" w:lineRule="auto"/>
            </w:pPr>
            <w:r>
              <w:rPr>
                <w:rFonts w:ascii="Arial" w:hAnsi="Arial" w:cs="Arial" w:eastAsia="Arial"/>
                <w:color w:val="0E1E3A"/>
                <w:sz w:val="17"/>
                <w:szCs w:val="17"/>
              </w:rPr>
              <w:t>0.89</w:t>
            </w:r>
          </w:p>
        </w:tc>
        <w:tc>
          <w:tcPr>
            <w:tcW w:type="dxa" w:w="1663"/>
          </w:tcPr>
          <w:p>
            <w:pPr>
              <w:spacing w:before="0" w:after="0" w:line="264" w:lineRule="auto"/>
            </w:pPr>
            <w:r>
              <w:rPr>
                <w:rFonts w:ascii="Arial" w:hAnsi="Arial" w:cs="Arial" w:eastAsia="Arial"/>
                <w:color w:val="0E1E3A"/>
                <w:sz w:val="17"/>
                <w:szCs w:val="17"/>
              </w:rPr>
              <w:t>0.88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ALPHA5</w:t>
            </w:r>
          </w:p>
        </w:tc>
        <w:tc>
          <w:tcPr>
            <w:tcW w:type="dxa" w:w="1663"/>
          </w:tcPr>
          <w:p>
            <w:pPr>
              <w:spacing w:before="0" w:after="0" w:line="264" w:lineRule="auto"/>
            </w:pPr>
            <w:r>
              <w:rPr>
                <w:rFonts w:ascii="Arial" w:hAnsi="Arial" w:cs="Arial" w:eastAsia="Arial"/>
                <w:color w:val="0E1E3A"/>
                <w:sz w:val="17"/>
                <w:szCs w:val="17"/>
              </w:rPr>
              <w:t>1.86%</w:t>
            </w:r>
          </w:p>
        </w:tc>
        <w:tc>
          <w:tcPr>
            <w:tcW w:type="dxa" w:w="1663"/>
          </w:tcPr>
          <w:p>
            <w:pPr>
              <w:spacing w:before="0" w:after="0" w:line="264" w:lineRule="auto"/>
            </w:pPr>
            <w:r>
              <w:rPr>
                <w:rFonts w:ascii="Arial" w:hAnsi="Arial" w:cs="Arial" w:eastAsia="Arial"/>
                <w:color w:val="0E1E3A"/>
                <w:sz w:val="17"/>
                <w:szCs w:val="17"/>
              </w:rPr>
              <w:t>0.51%</w:t>
            </w:r>
          </w:p>
        </w:tc>
        <w:tc>
          <w:tcPr>
            <w:tcW w:type="dxa" w:w="1663"/>
          </w:tcPr>
          <w:p>
            <w:pPr>
              <w:spacing w:before="0" w:after="0" w:line="264" w:lineRule="auto"/>
            </w:pPr>
            <w:r>
              <w:rPr>
                <w:rFonts w:ascii="Arial" w:hAnsi="Arial" w:cs="Arial" w:eastAsia="Arial"/>
                <w:color w:val="0E1E3A"/>
                <w:sz w:val="17"/>
                <w:szCs w:val="17"/>
              </w:rPr>
              <w:t>0.73%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0.13</w:t>
            </w:r>
          </w:p>
        </w:tc>
        <w:tc>
          <w:tcPr>
            <w:tcW w:type="dxa" w:w="1663"/>
          </w:tcPr>
          <w:p>
            <w:pPr>
              <w:spacing w:before="0" w:after="0" w:line="264" w:lineRule="auto"/>
            </w:pPr>
            <w:r>
              <w:rPr>
                <w:rFonts w:ascii="Arial" w:hAnsi="Arial" w:cs="Arial" w:eastAsia="Arial"/>
                <w:color w:val="0E1E3A"/>
                <w:sz w:val="17"/>
                <w:szCs w:val="17"/>
              </w:rPr>
              <w:t>0.05</w:t>
            </w:r>
          </w:p>
        </w:tc>
        <w:tc>
          <w:tcPr>
            <w:tcW w:type="dxa" w:w="1663"/>
          </w:tcPr>
          <w:p>
            <w:pPr>
              <w:spacing w:before="0" w:after="0" w:line="264" w:lineRule="auto"/>
            </w:pPr>
            <w:r>
              <w:rPr>
                <w:rFonts w:ascii="Arial" w:hAnsi="Arial" w:cs="Arial" w:eastAsia="Arial"/>
                <w:color w:val="0E1E3A"/>
                <w:sz w:val="17"/>
                <w:szCs w:val="17"/>
              </w:rPr>
              <w:t>0.09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w:t>
      </w:r>
      <w:r>
        <w:br/>
      </w:r>
      <w:r>
        <w:rPr>
          <w:rFonts w:ascii="Arial" w:hAnsi="Arial" w:cs="Arial" w:eastAsia="Arial"/>
          <w:color w:val="5A6478"/>
          <w:sz w:val="17"/>
          <w:szCs w:val="17"/>
        </w:rPr>
        <w:t>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w:t>
      </w:r>
      <w:r>
        <w:br/>
      </w:r>
      <w:r>
        <w:rPr>
          <w:rFonts w:ascii="Arial" w:hAnsi="Arial" w:cs="Arial" w:eastAsia="Arial"/>
          <w:color w:val="5A6478"/>
          <w:sz w:val="17"/>
          <w:szCs w:val="17"/>
        </w:rPr>
        <w:t>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During the previous year, in the general assembly meeting held on July 19, 2023, the unitholders approved the Fund Manager’s recommendation to buyback up to 50% of the total outstanding units for cancellation. The approval period expired on 18 July 2024. By the end of the approval period, the Fund Manager had bought 30.02% of the Units of the Fund.</w:t>
      </w:r>
    </w:p>
    <w:p>
      <w:pPr>
        <w:spacing w:before="0" w:after="80" w:line="312" w:lineRule="auto"/>
      </w:pPr>
      <w:r>
        <w:rPr>
          <w:rFonts w:ascii="Arial" w:hAnsi="Arial" w:cs="Arial" w:eastAsia="Arial"/>
          <w:color w:val="0E1E3A"/>
          <w:sz w:val="20"/>
          <w:szCs w:val="20"/>
        </w:rPr>
        <w:t>As of August 29, 2024, the Unitholders approved the buyback of up to 20 million Units, or 20% of the total number of Fund Units upon offering within a period of 12 months, as well as the amendment of the dividend distribution policy, and giving the Fund Manager the right to appoint a market maker.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6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In Q3 2024, global equity markets witnessed some fluctuation. Nevertheless, the strong growth of income, the positive growth of the US GDP and the US Fed’s decrease of interest rates by 50 basis points, contributed to easing fears of an imminent recession. As a result, main indices recorded gains, with Alkhabeer Global Equities Index rising by 3.52% in the third quarter of 2024 and 15.16% year-to-date.</w:t>
      </w:r>
    </w:p>
    <w:p>
      <w:pPr>
        <w:spacing w:before="0" w:after="80" w:line="312" w:lineRule="auto"/>
      </w:pPr>
      <w:r>
        <w:rPr>
          <w:rFonts w:ascii="Arial" w:hAnsi="Arial" w:cs="Arial" w:eastAsia="Arial"/>
          <w:color w:val="0E1E3A"/>
          <w:sz w:val="20"/>
          <w:szCs w:val="20"/>
        </w:rPr>
        <w:t>Lower interest rates by the US Fed are expected to lend greater support to markets in the upcoming quarters. Meanwhile, China announced a major stimulus package to prop up its economic growth.</w:t>
      </w:r>
    </w:p>
    <w:p>
      <w:pPr>
        <w:spacing w:before="0" w:after="80" w:line="312" w:lineRule="auto"/>
      </w:pPr>
      <w:r>
        <w:rPr>
          <w:rFonts w:ascii="Arial" w:hAnsi="Arial" w:cs="Arial" w:eastAsia="Arial"/>
          <w:color w:val="0E1E3A"/>
          <w:sz w:val="20"/>
          <w:szCs w:val="20"/>
        </w:rPr>
        <w:t>The latest IMF World Economic Outlook for July 2024 forecasts global GDP growth by 3.3%, with advanced economies projected to grow by 1.8%, and emerging markets by 4.3% in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6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62"/>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As at 30 September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3"/>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4"/>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Q3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