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37"/>
            <wp:cNvGraphicFramePr/>
            <a:graphic>
              <a:graphicData uri="http://schemas.openxmlformats.org/drawingml/2006/picture">
                <pic:pic>
                  <pic:nvPicPr>
                    <pic:cNvPr id="9037" name="banner9037.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38"/>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أ.</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هدف الصندوق:</w:t>
      </w:r>
    </w:p>
    <w:p>
      <w:pPr>
        <w:bidi w:val="1"/>
        <w:spacing w:before="0" w:after="80" w:line="312" w:lineRule="auto"/>
      </w:pPr>
      <w:r>
        <w:rPr>
          <w:rFonts w:ascii="Arial" w:hAnsi="Arial" w:cs="Arial" w:eastAsia="Arial"/>
          <w:color w:val="0E1E3A"/>
          <w:sz w:val="20"/>
          <w:szCs w:val="20"/>
          <w:rtl/>
        </w:rPr>
        <w:t>يركز مدير الصندوق على الاستثمار في محفظة متنوعة من الأسهم العالمية، حيث تشمل استثمارات الصندوق الاستثمار في أسهم الشركات بكافة قطاعاتها، والمتداولة في الأسواق العالمية؛ ومن بينها المملكة العربية السعودية، والواليات المتحدة الامريكية، وجمهورية الصين الشعبية، واليابان، وسويسرا، والمملكة المتحدة البريطانية، وفرنسا، وألمانيا، وكندا. وسيتم الاستثمار في تلك الأسواق طبقًا لعملة كل بلد. بالإضافة إلى ذلك، سيقوم مدير الصندوق بالاستثمار في صناديق الأسهم العامة والخاصة والتي تدار منِقبل مديري صناديق مرخص لهم منِقبل الهيئة أو جهة مماثلة في حال الاستثمار خارج المملكة العربية السعودية، حيث تشمل هذه الصناديق أسهم شركات ذات قيم سوقية مختلفة في دول وقطاعات متنوعة. كما ينوي مدير الصندوق الاستثمار في الطروحات الأولية للاكتتاب العام والتي سيتم إدر اجها في أسواق الأسهم المختلفة، بالإضافة إلى الاكتتاب في زيادات رأس المال للشركات المدرجة، والشركات غير المدرجة المقبلة على الطرح الأولي للاكتتاب العام من خلال المساهمة في الطروحات الخاصة المقبلة على الطرح الأولي للاكتتاب العام، والنقد وما في حكمه، المتوافقة مع أحكام اللجنة الشرعية ومبادئها، لتحقيق نمو طويل الأجل وتحقيق دخل دوري من عوائد الأسهم والأرباح على رأس المال.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ب.</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بدء الصندوق</w:t>
            </w:r>
          </w:p>
        </w:tc>
        <w:tc>
          <w:tcPr>
            <w:tcW w:type="dxa" w:w="6860"/>
          </w:tcPr>
          <w:p>
            <w:pPr>
              <w:bidi w:val="1"/>
              <w:spacing w:before="0" w:after="0" w:line="276" w:lineRule="auto"/>
            </w:pPr>
            <w:r>
              <w:rPr>
                <w:rFonts w:ascii="Arial" w:hAnsi="Arial" w:cs="Arial" w:eastAsia="Arial"/>
                <w:b/>
                <w:bCs/>
                <w:color w:val="0E1E3A"/>
                <w:sz w:val="18"/>
                <w:szCs w:val="18"/>
                <w:rtl/>
              </w:rPr>
              <w:t>27 أبريل 2022م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عند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12.4039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الصندوق *</w:t>
            </w:r>
          </w:p>
        </w:tc>
        <w:tc>
          <w:tcPr>
            <w:tcW w:type="dxa" w:w="6860"/>
          </w:tcPr>
          <w:p>
            <w:pPr>
              <w:bidi w:val="1"/>
              <w:spacing w:before="0" w:after="0" w:line="276" w:lineRule="auto"/>
            </w:pPr>
            <w:r>
              <w:rPr>
                <w:rFonts w:ascii="Arial" w:hAnsi="Arial" w:cs="Arial" w:eastAsia="Arial"/>
                <w:b/>
                <w:bCs/>
                <w:color w:val="0E1E3A"/>
                <w:sz w:val="18"/>
                <w:szCs w:val="18"/>
                <w:rtl/>
              </w:rPr>
              <w:t>794,789,215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نوع الصندوق</w:t>
            </w:r>
          </w:p>
        </w:tc>
        <w:tc>
          <w:tcPr>
            <w:tcW w:type="dxa" w:w="6860"/>
          </w:tcPr>
          <w:p>
            <w:pPr>
              <w:bidi w:val="1"/>
              <w:spacing w:before="0" w:after="0" w:line="276" w:lineRule="auto"/>
            </w:pPr>
            <w:r>
              <w:rPr>
                <w:rFonts w:ascii="Arial" w:hAnsi="Arial" w:cs="Arial" w:eastAsia="Arial"/>
                <w:b/>
                <w:bCs/>
                <w:color w:val="0E1E3A"/>
                <w:sz w:val="18"/>
                <w:szCs w:val="18"/>
                <w:rtl/>
              </w:rPr>
              <w:t>صندوق استثمار أسهم عام متداول مغلق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مؤشر "الخبير للأسهم العالمية"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مرات التوزيع (إن وُجد)</w:t>
            </w:r>
          </w:p>
        </w:tc>
        <w:tc>
          <w:tcPr>
            <w:tcW w:type="dxa" w:w="6860"/>
          </w:tcPr>
          <w:p>
            <w:pPr>
              <w:bidi w:val="1"/>
              <w:spacing w:before="0" w:after="0" w:line="276" w:lineRule="auto"/>
            </w:pPr>
            <w:r>
              <w:rPr>
                <w:rFonts w:ascii="Arial" w:hAnsi="Arial" w:cs="Arial" w:eastAsia="Arial"/>
                <w:b/>
                <w:bCs/>
                <w:color w:val="0E1E3A"/>
                <w:sz w:val="18"/>
                <w:szCs w:val="18"/>
                <w:rtl/>
              </w:rPr>
              <w:t>بشكل نصف سنوي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‎0.05%‎</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أيام المتوسط المرجح (إن وُجد)</w:t>
            </w:r>
          </w:p>
        </w:tc>
        <w:tc>
          <w:tcPr>
            <w:tcW w:type="dxa" w:w="6860"/>
          </w:tcPr>
          <w:p>
            <w:pPr>
              <w:bidi w:val="1"/>
              <w:spacing w:before="0" w:after="0" w:line="276" w:lineRule="auto"/>
            </w:pPr>
            <w:r>
              <w:rPr>
                <w:rFonts w:ascii="Arial" w:hAnsi="Arial" w:cs="Arial" w:eastAsia="Arial"/>
                <w:b/>
                <w:bCs/>
                <w:color w:val="0E1E3A"/>
                <w:sz w:val="18"/>
                <w:szCs w:val="18"/>
                <w:rtl/>
              </w:rPr>
              <w:t>92 يومًا</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إجمالي أصول الصندوق كما في تاريخ 30 سبتمبر 2025م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4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ج.</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تعريفات:</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الانحراف المعياري</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التذبذب بين العوائد على مدى فترة زمنية. وكلما انخفض التقلب، كانت مجموعة العوائد أكثر تجانسًا.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شارب</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أداؤه حسب المخاطر أفضل.</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خطأ التتبع (Tracking Error)</w:t>
            </w:r>
          </w:p>
        </w:tc>
        <w:tc>
          <w:tcPr>
            <w:tcW w:type="dxa" w:w="6860"/>
          </w:tcPr>
          <w:p>
            <w:pPr>
              <w:bidi w:val="1"/>
              <w:spacing w:before="0" w:after="0" w:line="276" w:lineRule="auto"/>
            </w:pPr>
            <w:r>
              <w:rPr>
                <w:rFonts w:ascii="Arial" w:hAnsi="Arial" w:cs="Arial" w:eastAsia="Arial"/>
                <w:b/>
                <w:bCs/>
                <w:color w:val="0E1E3A"/>
                <w:sz w:val="18"/>
                <w:szCs w:val="18"/>
                <w:rtl/>
              </w:rPr>
              <w:t>هو مقياس للمخاطر ويتم حسابه على أنه الانحراف المعياري بين عائد مدير الصندوق وعائد المؤشر. وكلما انخفض خطأ التتبع، كلما انحرف مدير الصندوق عن المؤشر.</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بيتا (Beta)</w:t>
            </w:r>
          </w:p>
        </w:tc>
        <w:tc>
          <w:tcPr>
            <w:tcW w:type="dxa" w:w="6860"/>
          </w:tcPr>
          <w:p>
            <w:pPr>
              <w:bidi w:val="1"/>
              <w:spacing w:before="0" w:after="0" w:line="276" w:lineRule="auto"/>
            </w:pPr>
            <w:r>
              <w:rPr>
                <w:rFonts w:ascii="Arial" w:hAnsi="Arial" w:cs="Arial" w:eastAsia="Arial"/>
                <w:b/>
                <w:bCs/>
                <w:color w:val="0E1E3A"/>
                <w:sz w:val="18"/>
                <w:szCs w:val="18"/>
                <w:rtl/>
              </w:rPr>
              <w:t>هو مقياس لمتوسط الحساسية التاريخية لعوائد الصندوق مقارنة بعوائد السوق، ويتم احتسابها عن طريق حساب تغاير سعر الوحدة ومؤشر السوق على تباين مؤشر السوق.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ألفا (Alpha)</w:t>
            </w:r>
          </w:p>
        </w:tc>
        <w:tc>
          <w:tcPr>
            <w:tcW w:type="dxa" w:w="6860"/>
          </w:tcPr>
          <w:p>
            <w:pPr>
              <w:bidi w:val="1"/>
              <w:spacing w:before="0" w:after="0" w:line="276" w:lineRule="auto"/>
            </w:pPr>
            <w:r>
              <w:rPr>
                <w:rFonts w:ascii="Arial" w:hAnsi="Arial" w:cs="Arial" w:eastAsia="Arial"/>
                <w:b/>
                <w:bCs/>
                <w:color w:val="0E1E3A"/>
                <w:sz w:val="18"/>
                <w:szCs w:val="18"/>
                <w:rtl/>
              </w:rPr>
              <w:t>هو مقياس أي تفوق حققه أداء الصندوق مقارنةً بأداء المؤشر المرتبط به.</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مؤشر المعلومات</w:t>
            </w:r>
          </w:p>
        </w:tc>
        <w:tc>
          <w:tcPr>
            <w:tcW w:type="dxa" w:w="6860"/>
          </w:tcPr>
          <w:p>
            <w:pPr>
              <w:bidi w:val="1"/>
              <w:spacing w:before="0" w:after="0" w:line="276" w:lineRule="auto"/>
            </w:pPr>
            <w:r>
              <w:rPr>
                <w:rFonts w:ascii="Arial" w:hAnsi="Arial" w:cs="Arial" w:eastAsia="Arial"/>
                <w:b/>
                <w:bCs/>
                <w:color w:val="0E1E3A"/>
                <w:sz w:val="18"/>
                <w:szCs w:val="18"/>
                <w:rtl/>
              </w:rPr>
              <w:t>هو مقياس أداء معدل المخاطر ويتم حسابه على أنه العائد النشط لمدير الصندوق مقسومًا على خطأ التتبع الخاص به. وكلما ارتفع معدل المعلومات، كلما ازدادت قدرة مدير الصندوق على تحقيق عوائد زائدة لكل وحدة من المخاطر الزائدة.</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5" name="Picture 904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د.</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تعليق مدير الصندوق:</w:t>
      </w:r>
    </w:p>
    <w:p>
      <w:pPr>
        <w:pStyle w:val="Heading3"/>
        <w:keepNext/>
        <w:bidi w:val="1"/>
        <w:spacing w:before="160" w:after="100" w:line="300" w:lineRule="auto"/>
      </w:pPr>
      <w:r>
        <w:rPr>
          <w:rFonts w:ascii="Arial" w:hAnsi="Arial" w:cs="Arial" w:eastAsia="Arial"/>
          <w:b/>
          <w:bCs/>
          <w:color w:val="12284B"/>
          <w:sz w:val="22"/>
          <w:szCs w:val="22"/>
          <w:rtl/>
        </w:rPr>
        <w:t>لمحة عن الأسواق العالمية</w:t>
      </w:r>
    </w:p>
    <w:p>
      <w:pPr>
        <w:bidi w:val="1"/>
        <w:spacing w:before="0" w:after="80" w:line="312" w:lineRule="auto"/>
      </w:pPr>
      <w:r>
        <w:rPr>
          <w:rFonts w:ascii="Arial" w:hAnsi="Arial" w:cs="Arial" w:eastAsia="Arial"/>
          <w:color w:val="0E1E3A"/>
          <w:sz w:val="20"/>
          <w:szCs w:val="20"/>
          <w:rtl/>
        </w:rPr>
        <w:t>شهدت أسواق الأسهم العالمية استقرارًا نسبيًا؛ نتيجة التطورات في محادثات الرسوم الجمركية في الواليات المتحدة، وتحسن أرباح الشركات، واستمرار قوة ثقة المستهلك. وقد خفض مجلس الاحتياطي الفيدرالي الأمريكي سعر الفائدة بمقدار 25 نقطة أساس، ما أدى إلى إعادة تسعير أسواق الأسهم نتيجة توقعات السوق بمزيد من التخفيضات لاحقًا. وقد ارتفع مؤشر "الخبير للأسهم العالمية" بنسبة +</w:t>
      </w:r>
      <w:r>
        <w:rPr>
          <w:rFonts w:ascii="Arial" w:hAnsi="Arial" w:cs="Arial" w:eastAsia="Arial"/>
          <w:color w:val="0E1E3A"/>
          <w:sz w:val="20"/>
          <w:szCs w:val="20"/>
        </w:rPr>
        <w:t>‎8.10%‎</w:t>
      </w:r>
      <w:r>
        <w:rPr>
          <w:rFonts w:ascii="Arial" w:hAnsi="Arial" w:cs="Arial" w:eastAsia="Arial"/>
          <w:color w:val="0E1E3A"/>
          <w:sz w:val="20"/>
          <w:szCs w:val="20"/>
          <w:rtl/>
        </w:rPr>
        <w:t xml:space="preserve"> خلال الربع الثالث من العام 2025م، مما يعكس حالة التفاؤل والتعافي الانتقائي في المعنويات.</w:t>
      </w:r>
    </w:p>
    <w:p>
      <w:pPr>
        <w:bidi w:val="1"/>
        <w:spacing w:before="0" w:after="80" w:line="312" w:lineRule="auto"/>
      </w:pPr>
      <w:r>
        <w:rPr>
          <w:rFonts w:ascii="Arial" w:hAnsi="Arial" w:cs="Arial" w:eastAsia="Arial"/>
          <w:color w:val="0E1E3A"/>
          <w:sz w:val="20"/>
          <w:szCs w:val="20"/>
          <w:rtl/>
        </w:rPr>
        <w:t>وأظهرت مؤشرات الاقتصاد الأمريكي إشارات متباينة، حيث واجه معدل البطالة ضغوطًا، في حين ارتفع معدل التضخم بشكل طفيف، وهو ما يدعم توقعات السوق بمزيد من التخفيضات في أسعار الفائدة خلال العام. أما في أوروبا فقد جاءت النتائج متباينة، بينما استفادت الأسواق الناشئة من الدعم الحكومي والسياسات المحفزة.</w:t>
      </w:r>
    </w:p>
    <w:p>
      <w:pPr>
        <w:bidi w:val="1"/>
        <w:spacing w:before="0" w:after="80" w:line="312" w:lineRule="auto"/>
      </w:pPr>
      <w:r>
        <w:rPr>
          <w:rFonts w:ascii="Arial" w:hAnsi="Arial" w:cs="Arial" w:eastAsia="Arial"/>
          <w:color w:val="0E1E3A"/>
          <w:sz w:val="20"/>
          <w:szCs w:val="20"/>
          <w:rtl/>
        </w:rPr>
        <w:t>ونظرًا للتطورات الجيوسياسية، وحالة عدم اليقين المرتبطة بالرسوم الجمركية، فمن المتوقع استمرار حالة التذبذب في الأسواق. وستساهم أي تطورات إيجابية في تخفيف التوترات الجيوسياسية، بالإضافة إلى مزيد من التخفيضات من قبل البنوك المركزية، في دعم أسواق الأسهم.</w:t>
      </w:r>
    </w:p>
    <w:p>
      <w:pPr>
        <w:bidi w:val="1"/>
        <w:spacing w:before="0" w:after="80" w:line="312" w:lineRule="auto"/>
      </w:pPr>
      <w:r>
        <w:rPr>
          <w:rFonts w:ascii="Arial" w:hAnsi="Arial" w:cs="Arial" w:eastAsia="Arial"/>
          <w:color w:val="0E1E3A"/>
          <w:sz w:val="20"/>
          <w:szCs w:val="20"/>
          <w:rtl/>
        </w:rPr>
        <w:t xml:space="preserve">وبحسب تقرير "آفاق الاقتصاد العالمي" الصادر عن صندوق النقد الدولي، يُتوقع أن ينمو الناتج المحلي الإجمالي العالمي بنسبة </w:t>
      </w:r>
      <w:r>
        <w:rPr>
          <w:rFonts w:ascii="Arial" w:hAnsi="Arial" w:cs="Arial" w:eastAsia="Arial"/>
          <w:color w:val="0E1E3A"/>
          <w:sz w:val="20"/>
          <w:szCs w:val="20"/>
        </w:rPr>
        <w:t>‎3.1%‎</w:t>
      </w:r>
      <w:r>
        <w:rPr>
          <w:rFonts w:ascii="Arial" w:hAnsi="Arial" w:cs="Arial" w:eastAsia="Arial"/>
          <w:color w:val="0E1E3A"/>
          <w:sz w:val="20"/>
          <w:szCs w:val="20"/>
          <w:rtl/>
        </w:rPr>
        <w:t xml:space="preserve"> في السنة المالية 2026م، مع نمو الاقتصادات المتقدمة بنسبة </w:t>
      </w:r>
      <w:r>
        <w:rPr>
          <w:rFonts w:ascii="Arial" w:hAnsi="Arial" w:cs="Arial" w:eastAsia="Arial"/>
          <w:color w:val="0E1E3A"/>
          <w:sz w:val="20"/>
          <w:szCs w:val="20"/>
        </w:rPr>
        <w:t>‎1.6%‎</w:t>
      </w:r>
      <w:r>
        <w:rPr>
          <w:rFonts w:ascii="Arial" w:hAnsi="Arial" w:cs="Arial" w:eastAsia="Arial"/>
          <w:color w:val="0E1E3A"/>
          <w:sz w:val="20"/>
          <w:szCs w:val="20"/>
          <w:rtl/>
        </w:rPr>
        <w:t xml:space="preserve">، والأسواق الناشئة بنسبة </w:t>
      </w:r>
      <w:r>
        <w:rPr>
          <w:rFonts w:ascii="Arial" w:hAnsi="Arial" w:cs="Arial" w:eastAsia="Arial"/>
          <w:color w:val="0E1E3A"/>
          <w:sz w:val="20"/>
          <w:szCs w:val="20"/>
        </w:rPr>
        <w:t>‎4%‎</w:t>
      </w:r>
      <w:r>
        <w:rPr>
          <w:rFonts w:ascii="Arial" w:hAnsi="Arial" w:cs="Arial" w:eastAsia="Arial"/>
          <w:color w:val="0E1E3A"/>
          <w:sz w:val="20"/>
          <w:szCs w:val="20"/>
          <w:rtl/>
        </w:rPr>
        <w:t xml:space="preserve">. ومن المتوقع أن ينمو الاقتصاد الأمريكي بنسبة </w:t>
      </w:r>
      <w:r>
        <w:rPr>
          <w:rFonts w:ascii="Arial" w:hAnsi="Arial" w:cs="Arial" w:eastAsia="Arial"/>
          <w:color w:val="0E1E3A"/>
          <w:sz w:val="20"/>
          <w:szCs w:val="20"/>
        </w:rPr>
        <w:t>‎2%‎</w:t>
      </w:r>
      <w:r>
        <w:rPr>
          <w:rFonts w:ascii="Arial" w:hAnsi="Arial" w:cs="Arial" w:eastAsia="Arial"/>
          <w:color w:val="0E1E3A"/>
          <w:sz w:val="20"/>
          <w:szCs w:val="20"/>
          <w:rtl/>
        </w:rPr>
        <w:t xml:space="preserve">، والمملكة المتحدة بنسبة </w:t>
      </w:r>
      <w:r>
        <w:rPr>
          <w:rFonts w:ascii="Arial" w:hAnsi="Arial" w:cs="Arial" w:eastAsia="Arial"/>
          <w:color w:val="0E1E3A"/>
          <w:sz w:val="20"/>
          <w:szCs w:val="20"/>
        </w:rPr>
        <w:t>‎1.4%‎</w:t>
      </w:r>
      <w:r>
        <w:rPr>
          <w:rFonts w:ascii="Arial" w:hAnsi="Arial" w:cs="Arial" w:eastAsia="Arial"/>
          <w:color w:val="0E1E3A"/>
          <w:sz w:val="20"/>
          <w:szCs w:val="20"/>
          <w:rtl/>
        </w:rPr>
        <w:t xml:space="preserve">، والمملكة العربية السعودية بنسبة </w:t>
      </w:r>
      <w:r>
        <w:rPr>
          <w:rFonts w:ascii="Arial" w:hAnsi="Arial" w:cs="Arial" w:eastAsia="Arial"/>
          <w:color w:val="0E1E3A"/>
          <w:sz w:val="20"/>
          <w:szCs w:val="20"/>
        </w:rPr>
        <w:t>‎3.9%‎</w:t>
      </w:r>
      <w:r>
        <w:rPr>
          <w:rFonts w:ascii="Arial" w:hAnsi="Arial" w:cs="Arial" w:eastAsia="Arial"/>
          <w:color w:val="0E1E3A"/>
          <w:sz w:val="20"/>
          <w:szCs w:val="20"/>
          <w:rtl/>
        </w:rPr>
        <w:t xml:space="preserve">، والصين بنسبة </w:t>
      </w:r>
      <w:r>
        <w:rPr>
          <w:rFonts w:ascii="Arial" w:hAnsi="Arial" w:cs="Arial" w:eastAsia="Arial"/>
          <w:color w:val="0E1E3A"/>
          <w:sz w:val="20"/>
          <w:szCs w:val="20"/>
        </w:rPr>
        <w:t>‎4.2%‎</w:t>
      </w:r>
      <w:r>
        <w:rPr>
          <w:rFonts w:ascii="Arial" w:hAnsi="Arial" w:cs="Arial" w:eastAsia="Arial"/>
          <w:color w:val="0E1E3A"/>
          <w:sz w:val="20"/>
          <w:szCs w:val="20"/>
          <w:rtl/>
        </w:rPr>
        <w:t xml:space="preserve">، والهند بنسبة </w:t>
      </w:r>
      <w:r>
        <w:rPr>
          <w:rFonts w:ascii="Arial" w:hAnsi="Arial" w:cs="Arial" w:eastAsia="Arial"/>
          <w:color w:val="0E1E3A"/>
          <w:sz w:val="20"/>
          <w:szCs w:val="20"/>
        </w:rPr>
        <w:t>‎6.4%‎</w:t>
      </w:r>
      <w:r>
        <w:rPr>
          <w:rFonts w:ascii="Arial" w:hAnsi="Arial" w:cs="Arial" w:eastAsia="Arial"/>
          <w:color w:val="0E1E3A"/>
          <w:sz w:val="20"/>
          <w:szCs w:val="20"/>
          <w:rtl/>
        </w:rPr>
        <w:t xml:space="preserve"> خلال السنة المالية 2026م.</w:t>
      </w:r>
    </w:p>
    <w:p>
      <w:pPr>
        <w:pStyle w:val="Heading3"/>
        <w:keepNext/>
        <w:bidi w:val="1"/>
        <w:spacing w:before="160" w:after="100" w:line="300" w:lineRule="auto"/>
      </w:pPr>
      <w:r>
        <w:rPr>
          <w:rFonts w:ascii="Arial" w:hAnsi="Arial" w:cs="Arial" w:eastAsia="Arial"/>
          <w:b/>
          <w:bCs/>
          <w:color w:val="12284B"/>
          <w:sz w:val="22"/>
          <w:szCs w:val="22"/>
          <w:rtl/>
        </w:rPr>
        <w:t>أبرز أحداث الصندوق، وأي تغييرات أساسية أو غير أساسية تؤثر على أدائه</w:t>
      </w:r>
    </w:p>
    <w:p>
      <w:pPr>
        <w:bidi w:val="1"/>
        <w:spacing w:before="0" w:after="80" w:line="312" w:lineRule="auto"/>
      </w:pPr>
      <w:r>
        <w:rPr>
          <w:rFonts w:ascii="Arial" w:hAnsi="Arial" w:cs="Arial" w:eastAsia="Arial"/>
          <w:color w:val="0E1E3A"/>
          <w:sz w:val="20"/>
          <w:szCs w:val="20"/>
          <w:rtl/>
        </w:rPr>
        <w:t xml:space="preserve">يود مدير الصندوق أن يوضح أن موافقة مالكي الوحدات على قيام الصندوق بشراء وحداته بغرض إلغائها بما لا يتجاوز </w:t>
      </w:r>
      <w:r>
        <w:rPr>
          <w:rFonts w:ascii="Arial" w:hAnsi="Arial" w:cs="Arial" w:eastAsia="Arial"/>
          <w:color w:val="0E1E3A"/>
          <w:sz w:val="20"/>
          <w:szCs w:val="20"/>
        </w:rPr>
        <w:t>‎20%‎</w:t>
      </w:r>
      <w:r>
        <w:rPr>
          <w:rFonts w:ascii="Arial" w:hAnsi="Arial" w:cs="Arial" w:eastAsia="Arial"/>
          <w:color w:val="0E1E3A"/>
          <w:sz w:val="20"/>
          <w:szCs w:val="20"/>
          <w:rtl/>
        </w:rPr>
        <w:t xml:space="preserve"> قد انتهت بنهاية يوم التداول يوم الخميس الموافق 28 أغسطس 2025م. وبناءً عليه، قام مدير الصندوق بشراء عدد إجمالي قدره 6,097,864 وحدة خلال الفترة كاملة، كما قام – بالتنسيق مع مجموعة تداول السعودية – بإلغاء 6,097,864 وحدة. وبذلك بلغ إجمالي عدد وحدات الصندوق القائمة 63,876,285 وحدة.</w:t>
      </w:r>
    </w:p>
    <w:p>
      <w:pPr>
        <w:bidi w:val="1"/>
        <w:spacing w:before="0" w:after="80" w:line="312" w:lineRule="auto"/>
      </w:pPr>
      <w:r>
        <w:rPr>
          <w:rFonts w:ascii="Arial" w:hAnsi="Arial" w:cs="Arial" w:eastAsia="Arial"/>
          <w:color w:val="0E1E3A"/>
          <w:sz w:val="20"/>
          <w:szCs w:val="20"/>
          <w:rtl/>
        </w:rPr>
        <w:t>كما قام مدير الصندوق بتعيين شركة "الأهلي المالية"؛ كصانع سوق للصندوق اعتبارًا من 3 سبتمبر 2025م.</w:t>
      </w:r>
    </w:p>
    <w:p>
      <w:pPr>
        <w:bidi w:val="1"/>
        <w:spacing w:before="0" w:after="80" w:line="312" w:lineRule="auto"/>
      </w:pPr>
      <w:r>
        <w:rPr>
          <w:rFonts w:ascii="Arial" w:hAnsi="Arial" w:cs="Arial" w:eastAsia="Arial"/>
          <w:color w:val="0E1E3A"/>
          <w:sz w:val="20"/>
          <w:szCs w:val="20"/>
          <w:rtl/>
        </w:rPr>
        <w:t xml:space="preserve">وخالل الربع، قام مدير الصندوق بتوزيع أرباح للنصف الأول من العام 2025م بلغت 26.90 مليون ريال سعودي (0.41 ريال للوحدة)، إضافة إلى توزيعات أرباح بمبلغ 38.70 مليون ريال سعودي (0.59 ريال للوحدة) عن الفترة من 27 أبريل 2022م إلى 31 ديسمبر 2024م. ومنذ تأسيسه، قام الصندوق بتوزيع إجمالي أرباح قدرها 2.715 ريال للوحدة، أي ما يعادل </w:t>
      </w:r>
      <w:r>
        <w:rPr>
          <w:rFonts w:ascii="Arial" w:hAnsi="Arial" w:cs="Arial" w:eastAsia="Arial"/>
          <w:color w:val="0E1E3A"/>
          <w:sz w:val="20"/>
          <w:szCs w:val="20"/>
        </w:rPr>
        <w:t>‎27.15%‎</w:t>
      </w:r>
      <w:r>
        <w:rPr>
          <w:rFonts w:ascii="Arial" w:hAnsi="Arial" w:cs="Arial" w:eastAsia="Arial"/>
          <w:color w:val="0E1E3A"/>
          <w:sz w:val="20"/>
          <w:szCs w:val="20"/>
          <w:rtl/>
        </w:rPr>
        <w:t xml:space="preserve"> من سعر الوحدة عند التأسيس.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42"/>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ه.</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الاتصال:</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رقم الهاتف</w:t>
            </w:r>
          </w:p>
        </w:tc>
        <w:tc>
          <w:tcPr>
            <w:tcW w:type="dxa" w:w="6860"/>
          </w:tcPr>
          <w:p>
            <w:pPr>
              <w:bidi w:val="1"/>
              <w:spacing w:before="0" w:after="0" w:line="276" w:lineRule="auto"/>
            </w:pPr>
            <w:r>
              <w:rPr>
                <w:rFonts w:ascii="Arial" w:hAnsi="Arial" w:cs="Arial" w:eastAsia="Arial"/>
                <w:b/>
                <w:bCs/>
                <w:color w:val="0E1E3A"/>
                <w:sz w:val="18"/>
                <w:szCs w:val="18"/>
              </w:rPr>
              <w:t>‎+966 12 658 8888‎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الموقع الإلكتروني</w:t>
            </w:r>
          </w:p>
        </w:tc>
        <w:tc>
          <w:tcPr>
            <w:tcW w:type="dxa" w:w="6860"/>
          </w:tcPr>
          <w:p>
            <w:pPr>
              <w:bidi w:val="1"/>
              <w:spacing w:before="0" w:after="0" w:line="276" w:lineRule="auto"/>
            </w:pPr>
            <w:r>
              <w:rPr>
                <w:rFonts w:ascii="Arial" w:hAnsi="Arial" w:cs="Arial" w:eastAsia="Arial"/>
                <w:b/>
                <w:bCs/>
                <w:color w:val="0E1E3A"/>
                <w:sz w:val="18"/>
                <w:szCs w:val="18"/>
                <w:rtl/>
              </w:rPr>
              <w:t>www.alkhabeer.com</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البريد الإلكتروني</w:t>
            </w:r>
          </w:p>
        </w:tc>
        <w:tc>
          <w:tcPr>
            <w:tcW w:type="dxa" w:w="6860"/>
          </w:tcPr>
          <w:p>
            <w:pPr>
              <w:bidi w:val="1"/>
              <w:spacing w:before="0" w:after="0" w:line="276" w:lineRule="auto"/>
            </w:pPr>
            <w:r>
              <w:rPr>
                <w:rFonts w:ascii="Arial" w:hAnsi="Arial" w:cs="Arial" w:eastAsia="Arial"/>
                <w:b/>
                <w:bCs/>
                <w:color w:val="0E1E3A"/>
                <w:sz w:val="18"/>
                <w:szCs w:val="18"/>
                <w:rtl/>
              </w:rPr>
              <w:t>info@alkhabeer.com</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و.</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الأسعار كما في نهاية الربع المعني (سبتمبر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كما في نهاية الربع الثالث (30 سبتمبر 2025م)</w:t>
            </w:r>
          </w:p>
        </w:tc>
        <w:tc>
          <w:tcPr>
            <w:tcW w:type="dxa" w:w="6860"/>
          </w:tcPr>
          <w:p>
            <w:pPr>
              <w:bidi w:val="1"/>
              <w:spacing w:before="0" w:after="0" w:line="276" w:lineRule="auto"/>
            </w:pPr>
            <w:r>
              <w:rPr>
                <w:rFonts w:ascii="Arial" w:hAnsi="Arial" w:cs="Arial" w:eastAsia="Arial"/>
                <w:b/>
                <w:bCs/>
                <w:color w:val="0E1E3A"/>
                <w:sz w:val="18"/>
                <w:szCs w:val="18"/>
                <w:rtl/>
              </w:rPr>
              <w:t>9.18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مقارنة بالربع السابق</w:t>
            </w:r>
          </w:p>
        </w:tc>
        <w:tc>
          <w:tcPr>
            <w:tcW w:type="dxa" w:w="6860"/>
          </w:tcPr>
          <w:p>
            <w:pPr>
              <w:bidi w:val="1"/>
              <w:spacing w:before="0" w:after="0" w:line="276" w:lineRule="auto"/>
            </w:pPr>
            <w:r>
              <w:rPr>
                <w:rFonts w:ascii="Arial" w:hAnsi="Arial" w:cs="Arial" w:eastAsia="Arial"/>
                <w:b/>
                <w:bCs/>
                <w:color w:val="0E1E3A"/>
                <w:sz w:val="18"/>
                <w:szCs w:val="18"/>
              </w:rPr>
              <w:t>‎-4.08%‎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المزدوج لصناديق أسواق النقد، وصناديق أدوات الدين ذات الدخل الثابت</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وحدات الصندوق</w:t>
            </w:r>
          </w:p>
        </w:tc>
        <w:tc>
          <w:tcPr>
            <w:tcW w:type="dxa" w:w="6860"/>
          </w:tcPr>
          <w:p>
            <w:pPr>
              <w:bidi w:val="1"/>
              <w:spacing w:before="0" w:after="0" w:line="276" w:lineRule="auto"/>
            </w:pPr>
            <w:r>
              <w:rPr>
                <w:rFonts w:ascii="Arial" w:hAnsi="Arial" w:cs="Arial" w:eastAsia="Arial"/>
                <w:b/>
                <w:bCs/>
                <w:color w:val="0E1E3A"/>
                <w:sz w:val="18"/>
                <w:szCs w:val="18"/>
                <w:rtl/>
              </w:rPr>
              <w:t>63,876,285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أصول الصندوق</w:t>
            </w:r>
          </w:p>
        </w:tc>
        <w:tc>
          <w:tcPr>
            <w:tcW w:type="dxa" w:w="6860"/>
          </w:tcPr>
          <w:p>
            <w:pPr>
              <w:bidi w:val="1"/>
              <w:spacing w:before="0" w:after="0" w:line="276" w:lineRule="auto"/>
            </w:pPr>
            <w:r>
              <w:rPr>
                <w:rFonts w:ascii="Arial" w:hAnsi="Arial" w:cs="Arial" w:eastAsia="Arial"/>
                <w:b/>
                <w:bCs/>
                <w:color w:val="0E1E3A"/>
                <w:sz w:val="18"/>
                <w:szCs w:val="18"/>
                <w:rtl/>
              </w:rPr>
              <w:t>792,313,221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مكرر الربحية (P/E)</w:t>
            </w:r>
          </w:p>
        </w:tc>
        <w:tc>
          <w:tcPr>
            <w:tcW w:type="dxa" w:w="6860"/>
          </w:tcPr>
          <w:p>
            <w:pPr>
              <w:bidi w:val="1"/>
              <w:spacing w:before="0" w:after="0" w:line="276" w:lineRule="auto"/>
            </w:pPr>
            <w:r>
              <w:rPr>
                <w:rFonts w:ascii="Arial" w:hAnsi="Arial" w:cs="Arial" w:eastAsia="Arial"/>
                <w:b/>
                <w:bCs/>
                <w:color w:val="0E1E3A"/>
                <w:sz w:val="18"/>
                <w:szCs w:val="18"/>
                <w:rtl/>
              </w:rPr>
              <w:t>23.86x</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8"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ز.</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معلومات الصندوق كما في نهاية الربع الثالث (سبتمبر 2025م):</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ريال سعودي</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w:t>
            </w:r>
          </w:p>
        </w:tc>
      </w:tr>
      <w:tr>
        <w:tc>
          <w:tcPr>
            <w:tcW w:type="dxa" w:w="3326"/>
          </w:tcPr>
          <w:p>
            <w:pPr>
              <w:bidi w:val="1"/>
              <w:spacing w:before="0" w:after="0" w:line="264" w:lineRule="auto"/>
            </w:pPr>
            <w:r>
              <w:rPr>
                <w:rFonts w:ascii="Arial" w:hAnsi="Arial" w:cs="Arial" w:eastAsia="Arial"/>
                <w:color w:val="0E1E3A"/>
                <w:sz w:val="17"/>
                <w:szCs w:val="17"/>
                <w:rtl/>
              </w:rPr>
              <w:t>نسبة الاتعاب الإجمالية (TER) من متوسط صافي أصول الصندوق</w:t>
            </w:r>
          </w:p>
        </w:tc>
        <w:tc>
          <w:tcPr>
            <w:tcW w:type="dxa" w:w="3326"/>
          </w:tcPr>
          <w:p>
            <w:pPr>
              <w:bidi w:val="1"/>
              <w:spacing w:before="0" w:after="0" w:line="264" w:lineRule="auto"/>
            </w:pPr>
            <w:r>
              <w:rPr>
                <w:rFonts w:ascii="Arial" w:hAnsi="Arial" w:cs="Arial" w:eastAsia="Arial"/>
                <w:color w:val="0E1E3A"/>
                <w:sz w:val="17"/>
                <w:szCs w:val="17"/>
                <w:rtl/>
              </w:rPr>
              <w:t>2,546,498 ر.س.</w:t>
            </w:r>
          </w:p>
        </w:tc>
        <w:tc>
          <w:tcPr>
            <w:tcW w:type="dxa" w:w="3326"/>
          </w:tcPr>
          <w:p>
            <w:pPr>
              <w:bidi w:val="1"/>
              <w:spacing w:before="0" w:after="0" w:line="264" w:lineRule="auto"/>
            </w:pPr>
            <w:r>
              <w:rPr>
                <w:rFonts w:ascii="Arial" w:hAnsi="Arial" w:cs="Arial" w:eastAsia="Arial"/>
                <w:color w:val="0E1E3A"/>
                <w:sz w:val="17"/>
                <w:szCs w:val="17"/>
              </w:rPr>
              <w:t>‎0.32%‎</w:t>
            </w:r>
          </w:p>
        </w:tc>
      </w:tr>
      <w:tr>
        <w:tc>
          <w:tcPr>
            <w:tcW w:type="dxa" w:w="3326"/>
          </w:tcPr>
          <w:p>
            <w:pPr>
              <w:bidi w:val="1"/>
              <w:spacing w:before="0" w:after="0" w:line="264" w:lineRule="auto"/>
            </w:pPr>
            <w:r>
              <w:rPr>
                <w:rFonts w:ascii="Arial" w:hAnsi="Arial" w:cs="Arial" w:eastAsia="Arial"/>
                <w:color w:val="0E1E3A"/>
                <w:sz w:val="17"/>
                <w:szCs w:val="17"/>
                <w:rtl/>
              </w:rPr>
              <w:t>نسبة الاقتراض من القيمة الإجمالية لأصول الصندوق</w:t>
            </w:r>
          </w:p>
        </w:tc>
        <w:tc>
          <w:tcPr>
            <w:tcW w:type="dxa" w:w="3326"/>
          </w:tcPr>
          <w:p>
            <w:pPr>
              <w:bidi w:val="1"/>
              <w:spacing w:before="0" w:after="0" w:line="264" w:lineRule="auto"/>
            </w:pPr>
            <w:r>
              <w:rPr>
                <w:rFonts w:ascii="Arial" w:hAnsi="Arial" w:cs="Arial" w:eastAsia="Arial"/>
                <w:color w:val="0E1E3A"/>
                <w:sz w:val="17"/>
                <w:szCs w:val="17"/>
                <w:rtl/>
              </w:rPr>
              <w:t>لا ينطبق</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مصاريف التعامل من متوسط صافي أصول الصندوق *</w:t>
            </w:r>
          </w:p>
        </w:tc>
        <w:tc>
          <w:tcPr>
            <w:tcW w:type="dxa" w:w="3326"/>
          </w:tcPr>
          <w:p>
            <w:pPr>
              <w:bidi w:val="1"/>
              <w:spacing w:before="0" w:after="0" w:line="264" w:lineRule="auto"/>
            </w:pPr>
            <w:r>
              <w:rPr>
                <w:rFonts w:ascii="Arial" w:hAnsi="Arial" w:cs="Arial" w:eastAsia="Arial"/>
                <w:color w:val="0E1E3A"/>
                <w:sz w:val="17"/>
                <w:szCs w:val="17"/>
                <w:rtl/>
              </w:rPr>
              <w:t>80,802 ر.س.</w:t>
            </w:r>
          </w:p>
        </w:tc>
        <w:tc>
          <w:tcPr>
            <w:tcW w:type="dxa" w:w="3326"/>
          </w:tcPr>
          <w:p>
            <w:pPr>
              <w:bidi w:val="1"/>
              <w:spacing w:before="0" w:after="0" w:line="264" w:lineRule="auto"/>
            </w:pPr>
            <w:r>
              <w:rPr>
                <w:rFonts w:ascii="Arial" w:hAnsi="Arial" w:cs="Arial" w:eastAsia="Arial"/>
                <w:color w:val="0E1E3A"/>
                <w:sz w:val="17"/>
                <w:szCs w:val="17"/>
              </w:rPr>
              <w:t>‎0.01%‎</w:t>
            </w:r>
          </w:p>
        </w:tc>
      </w:tr>
      <w:tr>
        <w:tc>
          <w:tcPr>
            <w:tcW w:type="dxa" w:w="3326"/>
          </w:tcPr>
          <w:p>
            <w:pPr>
              <w:bidi w:val="1"/>
              <w:spacing w:before="0" w:after="0" w:line="264" w:lineRule="auto"/>
            </w:pPr>
            <w:r>
              <w:rPr>
                <w:rFonts w:ascii="Arial" w:hAnsi="Arial" w:cs="Arial" w:eastAsia="Arial"/>
                <w:color w:val="0E1E3A"/>
                <w:sz w:val="17"/>
                <w:szCs w:val="17"/>
                <w:rtl/>
              </w:rPr>
              <w:t>استثمار مدير الصندوق من صافي أصول الصندوق</w:t>
            </w:r>
          </w:p>
        </w:tc>
        <w:tc>
          <w:tcPr>
            <w:tcW w:type="dxa" w:w="3326"/>
          </w:tcPr>
          <w:p>
            <w:pPr>
              <w:bidi w:val="1"/>
              <w:spacing w:before="0" w:after="0" w:line="264" w:lineRule="auto"/>
            </w:pPr>
            <w:r>
              <w:rPr>
                <w:rFonts w:ascii="Arial" w:hAnsi="Arial" w:cs="Arial" w:eastAsia="Arial"/>
                <w:color w:val="0E1E3A"/>
                <w:sz w:val="17"/>
                <w:szCs w:val="17"/>
                <w:rtl/>
              </w:rPr>
              <w:t>لا ينطبق</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الأرباح الموزعة</w:t>
            </w:r>
          </w:p>
        </w:tc>
        <w:tc>
          <w:tcPr>
            <w:tcW w:type="dxa" w:w="3326"/>
          </w:tcPr>
          <w:p>
            <w:pPr>
              <w:bidi w:val="1"/>
              <w:spacing w:before="0" w:after="0" w:line="264" w:lineRule="auto"/>
            </w:pPr>
            <w:r>
              <w:rPr>
                <w:rFonts w:ascii="Arial" w:hAnsi="Arial" w:cs="Arial" w:eastAsia="Arial"/>
                <w:color w:val="0E1E3A"/>
                <w:sz w:val="17"/>
                <w:szCs w:val="17"/>
                <w:rtl/>
              </w:rPr>
              <w:t>65,590,285 ر.س.</w:t>
            </w:r>
          </w:p>
        </w:tc>
        <w:tc>
          <w:tcPr>
            <w:tcW w:type="dxa" w:w="3326"/>
          </w:tcPr>
          <w:p>
            <w:pPr>
              <w:bidi w:val="1"/>
              <w:spacing w:before="0" w:after="0" w:line="264" w:lineRule="auto"/>
            </w:pPr>
            <w:r>
              <w:rPr>
                <w:rFonts w:ascii="Arial" w:hAnsi="Arial" w:cs="Arial" w:eastAsia="Arial"/>
                <w:color w:val="0E1E3A"/>
                <w:sz w:val="17"/>
                <w:szCs w:val="17"/>
              </w:rPr>
              <w:t>‎8.3%‎</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*متوسط صافي أصول الصندوق للربع الثالث = 783,832,477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4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ح.</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بيانات 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ملكية تامة</w:t>
            </w:r>
          </w:p>
        </w:tc>
        <w:tc>
          <w:tcPr>
            <w:tcW w:type="dxa" w:w="6860"/>
          </w:tcPr>
          <w:p>
            <w:pPr>
              <w:bidi w:val="1"/>
              <w:spacing w:before="0" w:after="0" w:line="276" w:lineRule="auto"/>
            </w:pPr>
            <w:r>
              <w:rPr>
                <w:rFonts w:ascii="Arial" w:hAnsi="Arial" w:cs="Arial" w:eastAsia="Arial"/>
                <w:b/>
                <w:bCs/>
                <w:color w:val="0E1E3A"/>
                <w:sz w:val="18"/>
                <w:szCs w:val="18"/>
              </w:rPr>
              <w:t>‎100%‎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حق منفعة</w:t>
            </w:r>
          </w:p>
        </w:tc>
        <w:tc>
          <w:tcPr>
            <w:tcW w:type="dxa" w:w="6860"/>
          </w:tcPr>
          <w:p>
            <w:pPr>
              <w:bidi w:val="1"/>
              <w:spacing w:before="0" w:after="0" w:line="276" w:lineRule="auto"/>
            </w:pPr>
            <w:r>
              <w:rPr>
                <w:rFonts w:ascii="Arial" w:hAnsi="Arial" w:cs="Arial" w:eastAsia="Arial"/>
                <w:b/>
                <w:bCs/>
                <w:color w:val="0E1E3A"/>
                <w:sz w:val="18"/>
                <w:szCs w:val="18"/>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ط.</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إخلاء مسؤولية:</w:t>
      </w:r>
    </w:p>
    <w:p>
      <w:pPr>
        <w:bidi w:val="1"/>
        <w:spacing w:before="0" w:after="80" w:line="312" w:lineRule="auto"/>
      </w:pPr>
      <w:r>
        <w:rPr>
          <w:rFonts w:ascii="Arial" w:hAnsi="Arial" w:cs="Arial" w:eastAsia="Arial"/>
          <w:color w:val="0E1E3A"/>
          <w:sz w:val="20"/>
          <w:szCs w:val="20"/>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 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ويعد استثمار المستثمر في الصندوق إقرارًا منه باطلاعه على شروط وأحكام الصندوق وقبوله بها. وتنتفي المسؤولية عن مدير الصندوق، أو أي من تابعيه في حال وقوع أي خسارة مالية للصندوق؛ ما لم يكن ذلك ناتجًا عن أسباب متعمدة من قبل مدير الصندوق.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1" name="Picture 904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ي.</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أكبر عشرة استثمارات للصندوق:</w:t>
      </w:r>
    </w:p>
    <w:p>
      <w:pPr>
        <w:bidi w:val="1"/>
        <w:spacing w:before="0" w:after="80" w:line="240" w:lineRule="auto"/>
        <w:jc w:val="center"/>
      </w:pPr>
      <w:r>
        <w:drawing>
          <wp:inline xmlns:a="http://schemas.openxmlformats.org/drawingml/2006/main" xmlns:pic="http://schemas.openxmlformats.org/drawingml/2006/picture">
            <wp:extent cx="6336000" cy="3025297"/>
            <wp:docPr id="12" name="Picture 9048"/>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3025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49"/>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ك.</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الأرباح الموزعة على مالكي الوحدات (إن وُجدت)،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خلال الربع الثالث</w:t>
            </w:r>
          </w:p>
        </w:tc>
        <w:tc>
          <w:tcPr>
            <w:tcW w:type="dxa" w:w="6860"/>
          </w:tcPr>
          <w:p>
            <w:pPr>
              <w:bidi w:val="1"/>
              <w:spacing w:before="0" w:after="0" w:line="276" w:lineRule="auto"/>
            </w:pPr>
            <w:r>
              <w:rPr>
                <w:rFonts w:ascii="Arial" w:hAnsi="Arial" w:cs="Arial" w:eastAsia="Arial"/>
                <w:b/>
                <w:bCs/>
                <w:color w:val="0E1E3A"/>
                <w:sz w:val="18"/>
                <w:szCs w:val="18"/>
                <w:rtl/>
              </w:rPr>
              <w:t>65,590,285.00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 التي تم التوزيع لها خلال الربع الثالث</w:t>
            </w:r>
          </w:p>
        </w:tc>
        <w:tc>
          <w:tcPr>
            <w:tcW w:type="dxa" w:w="6860"/>
          </w:tcPr>
          <w:p>
            <w:pPr>
              <w:bidi w:val="1"/>
              <w:spacing w:before="0" w:after="0" w:line="276" w:lineRule="auto"/>
            </w:pPr>
            <w:r>
              <w:rPr>
                <w:rFonts w:ascii="Arial" w:hAnsi="Arial" w:cs="Arial" w:eastAsia="Arial"/>
                <w:b/>
                <w:bCs/>
                <w:color w:val="0E1E3A"/>
                <w:sz w:val="18"/>
                <w:szCs w:val="18"/>
                <w:rtl/>
              </w:rPr>
              <w:t>65,590,285 وحدة</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الربح الموزع لكل وحدة خلال الربع الثالث</w:t>
            </w:r>
          </w:p>
        </w:tc>
        <w:tc>
          <w:tcPr>
            <w:tcW w:type="dxa" w:w="6860"/>
          </w:tcPr>
          <w:p>
            <w:pPr>
              <w:bidi w:val="1"/>
              <w:spacing w:before="0" w:after="0" w:line="276" w:lineRule="auto"/>
            </w:pPr>
            <w:r>
              <w:rPr>
                <w:rFonts w:ascii="Arial" w:hAnsi="Arial" w:cs="Arial" w:eastAsia="Arial"/>
                <w:b/>
                <w:bCs/>
                <w:color w:val="0E1E3A"/>
                <w:sz w:val="18"/>
                <w:szCs w:val="18"/>
                <w:rtl/>
              </w:rPr>
              <w:t>1.00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التوزيعات من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‎8.3%‎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أحقية التوزيعات النقدية التي تم توزيعها خلال الربع المعني</w:t>
            </w:r>
          </w:p>
        </w:tc>
        <w:tc>
          <w:tcPr>
            <w:tcW w:type="dxa" w:w="6860"/>
          </w:tcPr>
          <w:p>
            <w:pPr>
              <w:bidi w:val="1"/>
              <w:spacing w:before="0" w:after="0" w:line="276" w:lineRule="auto"/>
            </w:pPr>
            <w:r>
              <w:rPr>
                <w:rFonts w:ascii="Arial" w:hAnsi="Arial" w:cs="Arial" w:eastAsia="Arial"/>
                <w:b/>
                <w:bCs/>
                <w:color w:val="0E1E3A"/>
                <w:sz w:val="18"/>
                <w:szCs w:val="18"/>
                <w:rtl/>
              </w:rPr>
              <w:t>حسب سجل مالكي الوحدات بنهاية يوم الثلاثاء الموافق 5 أغسطس 2025م</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التوزيعات عن الفترة من 1 يناير 2025م إلى 30 يونيو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5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ل.</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التصنيف الائتماني لأدوات الدين المستثمّر فيها لأكبر عشرة استثمارات للصندوق، وذلك بحسب الآتي:</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التصنيف الائتماني لمصدر أداة الدين</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اسم وكالة التصنيف الائتماني المانحة للتصنيف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بيان تاريخ التصنيف الائتماني</w:t>
            </w:r>
          </w:p>
        </w:tc>
        <w:tc>
          <w:tcPr>
            <w:tcW w:type="dxa" w:w="6860"/>
          </w:tcPr>
          <w:p>
            <w:pPr>
              <w:bidi w:val="1"/>
              <w:spacing w:before="0" w:after="0" w:line="276" w:lineRule="auto"/>
            </w:pPr>
            <w:r>
              <w:rPr>
                <w:rFonts w:ascii="Arial" w:hAnsi="Arial" w:cs="Arial" w:eastAsia="Arial"/>
                <w:b/>
                <w:bCs/>
                <w:color w:val="0E1E3A"/>
                <w:sz w:val="18"/>
                <w:szCs w:val="18"/>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51"/>
            <wp:cNvGraphicFramePr>
              <a:graphicFrameLocks noChangeAspect="1"/>
            </wp:cNvGraphicFramePr>
            <a:graphic>
              <a:graphicData uri="http://schemas.openxmlformats.org/drawingml/2006/picture">
                <pic:pic>
                  <pic:nvPicPr>
                    <pic:cNvPr id="0" name="ico_737e94dc9d8d67dbf235ae564951a5f7.png"/>
                    <pic:cNvPicPr/>
                  </pic:nvPicPr>
                  <pic:blipFill>
                    <a:blip r:embed="rId17"/>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م.</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توزيع أصول الصندوق (قطاعي / جغرافي):</w:t>
      </w:r>
    </w:p>
    <w:p>
      <w:pPr>
        <w:bidi w:val="1"/>
        <w:spacing w:before="0" w:after="80" w:line="240" w:lineRule="auto"/>
        <w:jc w:val="center"/>
      </w:pPr>
      <w:r>
        <w:drawing>
          <wp:inline xmlns:a="http://schemas.openxmlformats.org/drawingml/2006/main" xmlns:pic="http://schemas.openxmlformats.org/drawingml/2006/picture">
            <wp:extent cx="6336000" cy="3025297"/>
            <wp:docPr id="16" name="Picture 9052"/>
            <wp:cNvGraphicFramePr>
              <a:graphicFrameLocks noChangeAspect="1"/>
            </wp:cNvGraphicFramePr>
            <a:graphic>
              <a:graphicData uri="http://schemas.openxmlformats.org/drawingml/2006/picture">
                <pic:pic>
                  <pic:nvPicPr>
                    <pic:cNvPr id="0" name="x3.j.jpg"/>
                    <pic:cNvPicPr/>
                  </pic:nvPicPr>
                  <pic:blipFill>
                    <a:blip r:embed="rId18"/>
                    <a:stretch>
                      <a:fillRect/>
                    </a:stretch>
                  </pic:blipFill>
                  <pic:spPr>
                    <a:xfrm>
                      <a:off x="0" y="0"/>
                      <a:ext cx="6336000" cy="3025297"/>
                    </a:xfrm>
                    <a:prstGeom prst="rect"/>
                  </pic:spPr>
                </pic:pic>
              </a:graphicData>
            </a:graphic>
          </wp:inline>
        </w:drawing>
      </w:r>
    </w:p>
    <w:p>
      <w:pPr>
        <w:bidi w:val="1"/>
        <w:spacing w:before="0" w:after="80" w:line="240" w:lineRule="auto"/>
        <w:jc w:val="center"/>
      </w:pPr>
      <w:r>
        <w:drawing>
          <wp:inline xmlns:a="http://schemas.openxmlformats.org/drawingml/2006/main" xmlns:pic="http://schemas.openxmlformats.org/drawingml/2006/picture">
            <wp:extent cx="6336000" cy="1969297"/>
            <wp:docPr id="17" name="Picture 9053"/>
            <wp:cNvGraphicFramePr>
              <a:graphicFrameLocks noChangeAspect="1"/>
            </wp:cNvGraphicFramePr>
            <a:graphic>
              <a:graphicData uri="http://schemas.openxmlformats.org/drawingml/2006/picture">
                <pic:pic>
                  <pic:nvPicPr>
                    <pic:cNvPr id="0" name="x4.j.jpg"/>
                    <pic:cNvPicPr/>
                  </pic:nvPicPr>
                  <pic:blipFill>
                    <a:blip r:embed="rId19"/>
                    <a:stretch>
                      <a:fillRect/>
                    </a:stretch>
                  </pic:blipFill>
                  <pic:spPr>
                    <a:xfrm>
                      <a:off x="0" y="0"/>
                      <a:ext cx="6336000" cy="1969297"/>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54"/>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ن.</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العائد: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الثالث)</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العائد الكلي لصافي قيمة الوحدة "أداء الصندوق" *</w:t>
            </w:r>
          </w:p>
        </w:tc>
        <w:tc>
          <w:tcPr>
            <w:tcW w:type="dxa" w:w="1663"/>
          </w:tcPr>
          <w:p>
            <w:pPr>
              <w:bidi w:val="1"/>
              <w:spacing w:before="0" w:after="0" w:line="264" w:lineRule="auto"/>
            </w:pPr>
            <w:r>
              <w:rPr>
                <w:rFonts w:ascii="Arial" w:hAnsi="Arial" w:cs="Arial" w:eastAsia="Arial"/>
                <w:color w:val="0E1E3A"/>
                <w:sz w:val="17"/>
                <w:szCs w:val="17"/>
              </w:rPr>
              <w:t>‎8.41%‎</w:t>
            </w:r>
          </w:p>
        </w:tc>
        <w:tc>
          <w:tcPr>
            <w:tcW w:type="dxa" w:w="1663"/>
          </w:tcPr>
          <w:p>
            <w:pPr>
              <w:bidi w:val="1"/>
              <w:spacing w:before="0" w:after="0" w:line="264" w:lineRule="auto"/>
            </w:pPr>
            <w:r>
              <w:rPr>
                <w:rFonts w:ascii="Arial" w:hAnsi="Arial" w:cs="Arial" w:eastAsia="Arial"/>
                <w:color w:val="0E1E3A"/>
                <w:sz w:val="17"/>
                <w:szCs w:val="17"/>
              </w:rPr>
              <w:t>‎16.36%‎</w:t>
            </w:r>
          </w:p>
        </w:tc>
        <w:tc>
          <w:tcPr>
            <w:tcW w:type="dxa" w:w="1663"/>
          </w:tcPr>
          <w:p>
            <w:pPr>
              <w:bidi w:val="1"/>
              <w:spacing w:before="0" w:after="0" w:line="264" w:lineRule="auto"/>
            </w:pPr>
            <w:r>
              <w:rPr>
                <w:rFonts w:ascii="Arial" w:hAnsi="Arial" w:cs="Arial" w:eastAsia="Arial"/>
                <w:color w:val="0E1E3A"/>
                <w:sz w:val="17"/>
                <w:szCs w:val="17"/>
              </w:rPr>
              <w:t>‎12.81%‎</w:t>
            </w:r>
          </w:p>
        </w:tc>
        <w:tc>
          <w:tcPr>
            <w:tcW w:type="dxa" w:w="1663"/>
          </w:tcPr>
          <w:p>
            <w:pPr>
              <w:bidi w:val="1"/>
              <w:spacing w:before="0" w:after="0" w:line="264" w:lineRule="auto"/>
            </w:pPr>
            <w:r>
              <w:rPr>
                <w:rFonts w:ascii="Arial" w:hAnsi="Arial" w:cs="Arial" w:eastAsia="Arial"/>
                <w:color w:val="0E1E3A"/>
                <w:sz w:val="17"/>
                <w:szCs w:val="17"/>
              </w:rPr>
              <w:t>‎79.38%‎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1663"/>
          </w:tcPr>
          <w:p>
            <w:pPr>
              <w:bidi w:val="1"/>
              <w:spacing w:before="0" w:after="0" w:line="264" w:lineRule="auto"/>
            </w:pPr>
            <w:r>
              <w:rPr>
                <w:rFonts w:ascii="Arial" w:hAnsi="Arial" w:cs="Arial" w:eastAsia="Arial"/>
                <w:color w:val="0E1E3A"/>
                <w:sz w:val="17"/>
                <w:szCs w:val="17"/>
              </w:rPr>
              <w:t>‎8.10%‎</w:t>
            </w:r>
          </w:p>
        </w:tc>
        <w:tc>
          <w:tcPr>
            <w:tcW w:type="dxa" w:w="1663"/>
          </w:tcPr>
          <w:p>
            <w:pPr>
              <w:bidi w:val="1"/>
              <w:spacing w:before="0" w:after="0" w:line="264" w:lineRule="auto"/>
            </w:pPr>
            <w:r>
              <w:rPr>
                <w:rFonts w:ascii="Arial" w:hAnsi="Arial" w:cs="Arial" w:eastAsia="Arial"/>
                <w:color w:val="0E1E3A"/>
                <w:sz w:val="17"/>
                <w:szCs w:val="17"/>
              </w:rPr>
              <w:t>‎14.59%‎</w:t>
            </w:r>
          </w:p>
        </w:tc>
        <w:tc>
          <w:tcPr>
            <w:tcW w:type="dxa" w:w="1663"/>
          </w:tcPr>
          <w:p>
            <w:pPr>
              <w:bidi w:val="1"/>
              <w:spacing w:before="0" w:after="0" w:line="264" w:lineRule="auto"/>
            </w:pPr>
            <w:r>
              <w:rPr>
                <w:rFonts w:ascii="Arial" w:hAnsi="Arial" w:cs="Arial" w:eastAsia="Arial"/>
                <w:color w:val="0E1E3A"/>
                <w:sz w:val="17"/>
                <w:szCs w:val="17"/>
              </w:rPr>
              <w:t>‎10.46%‎</w:t>
            </w:r>
          </w:p>
        </w:tc>
        <w:tc>
          <w:tcPr>
            <w:tcW w:type="dxa" w:w="1663"/>
          </w:tcPr>
          <w:p>
            <w:pPr>
              <w:bidi w:val="1"/>
              <w:spacing w:before="0" w:after="0" w:line="264" w:lineRule="auto"/>
            </w:pPr>
            <w:r>
              <w:rPr>
                <w:rFonts w:ascii="Arial" w:hAnsi="Arial" w:cs="Arial" w:eastAsia="Arial"/>
                <w:color w:val="0E1E3A"/>
                <w:sz w:val="17"/>
                <w:szCs w:val="17"/>
              </w:rPr>
              <w:t>‎66.68%‎</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فارق الأداء</w:t>
            </w:r>
          </w:p>
        </w:tc>
        <w:tc>
          <w:tcPr>
            <w:tcW w:type="dxa" w:w="1663"/>
          </w:tcPr>
          <w:p>
            <w:pPr>
              <w:bidi w:val="1"/>
              <w:spacing w:before="0" w:after="0" w:line="264" w:lineRule="auto"/>
            </w:pPr>
            <w:r>
              <w:rPr>
                <w:rFonts w:ascii="Arial" w:hAnsi="Arial" w:cs="Arial" w:eastAsia="Arial"/>
                <w:color w:val="0E1E3A"/>
                <w:sz w:val="17"/>
                <w:szCs w:val="17"/>
              </w:rPr>
              <w:t>‎0.31%‎</w:t>
            </w:r>
          </w:p>
        </w:tc>
        <w:tc>
          <w:tcPr>
            <w:tcW w:type="dxa" w:w="1663"/>
          </w:tcPr>
          <w:p>
            <w:pPr>
              <w:bidi w:val="1"/>
              <w:spacing w:before="0" w:after="0" w:line="264" w:lineRule="auto"/>
            </w:pPr>
            <w:r>
              <w:rPr>
                <w:rFonts w:ascii="Arial" w:hAnsi="Arial" w:cs="Arial" w:eastAsia="Arial"/>
                <w:color w:val="0E1E3A"/>
                <w:sz w:val="17"/>
                <w:szCs w:val="17"/>
              </w:rPr>
              <w:t>‎1.77%‎</w:t>
            </w:r>
          </w:p>
        </w:tc>
        <w:tc>
          <w:tcPr>
            <w:tcW w:type="dxa" w:w="1663"/>
          </w:tcPr>
          <w:p>
            <w:pPr>
              <w:bidi w:val="1"/>
              <w:spacing w:before="0" w:after="0" w:line="264" w:lineRule="auto"/>
            </w:pPr>
            <w:r>
              <w:rPr>
                <w:rFonts w:ascii="Arial" w:hAnsi="Arial" w:cs="Arial" w:eastAsia="Arial"/>
                <w:color w:val="0E1E3A"/>
                <w:sz w:val="17"/>
                <w:szCs w:val="17"/>
              </w:rPr>
              <w:t>‎2.35%‎</w:t>
            </w:r>
          </w:p>
        </w:tc>
        <w:tc>
          <w:tcPr>
            <w:tcW w:type="dxa" w:w="1663"/>
          </w:tcPr>
          <w:p>
            <w:pPr>
              <w:bidi w:val="1"/>
              <w:spacing w:before="0" w:after="0" w:line="264" w:lineRule="auto"/>
            </w:pPr>
            <w:r>
              <w:rPr>
                <w:rFonts w:ascii="Arial" w:hAnsi="Arial" w:cs="Arial" w:eastAsia="Arial"/>
                <w:color w:val="0E1E3A"/>
                <w:sz w:val="17"/>
                <w:szCs w:val="17"/>
              </w:rPr>
              <w:t>‎12.70%‎</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العائد الكلي = أداء صافي قيمة الوحدة بالإضافة إلى الأرباح الموزعة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55"/>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س.</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1663"/>
        <w:gridCol w:w="1663"/>
        <w:gridCol w:w="1663"/>
        <w:gridCol w:w="1663"/>
        <w:gridCol w:w="1663"/>
        <w:gridCol w:w="1663"/>
      </w:tblGrid>
      <w:tr>
        <w:trPr>
          <w:tblHeader/>
        </w:trPr>
        <w:tc>
          <w:tcPr>
            <w:tcW w:type="dxa" w:w="1663"/>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أشهر (نهاية الربع الثالث)</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حتى تاريخه (YTD)</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سنة واحدة</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3 سنوات</w:t>
            </w:r>
          </w:p>
        </w:tc>
        <w:tc>
          <w:tcPr>
            <w:tcW w:type="dxa" w:w="1663"/>
            <w:shd w:val="clear" w:color="auto" w:fill="12284B"/>
          </w:tcPr>
          <w:p>
            <w:pPr>
              <w:bidi w:val="1"/>
              <w:spacing w:before="0" w:after="0" w:line="264" w:lineRule="auto"/>
            </w:pPr>
            <w:r>
              <w:rPr>
                <w:rFonts w:ascii="Arial" w:hAnsi="Arial" w:cs="Arial" w:eastAsia="Arial"/>
                <w:b/>
                <w:bCs/>
                <w:color w:val="FFFFFF"/>
                <w:sz w:val="17"/>
                <w:szCs w:val="17"/>
                <w:rtl/>
              </w:rPr>
              <w:t>5 سنوات</w:t>
            </w:r>
          </w:p>
        </w:tc>
      </w:tr>
      <w:tr>
        <w:tc>
          <w:tcPr>
            <w:tcW w:type="dxa" w:w="1663"/>
          </w:tcPr>
          <w:p>
            <w:pPr>
              <w:bidi w:val="1"/>
              <w:spacing w:before="0" w:after="0" w:line="264" w:lineRule="auto"/>
            </w:pPr>
            <w:r>
              <w:rPr>
                <w:rFonts w:ascii="Arial" w:hAnsi="Arial" w:cs="Arial" w:eastAsia="Arial"/>
                <w:color w:val="0E1E3A"/>
                <w:sz w:val="17"/>
                <w:szCs w:val="17"/>
                <w:rtl/>
              </w:rPr>
              <w:t>الانحراف المعياري</w:t>
            </w:r>
          </w:p>
        </w:tc>
        <w:tc>
          <w:tcPr>
            <w:tcW w:type="dxa" w:w="1663"/>
          </w:tcPr>
          <w:p>
            <w:pPr>
              <w:bidi w:val="1"/>
              <w:spacing w:before="0" w:after="0" w:line="264" w:lineRule="auto"/>
            </w:pPr>
            <w:r>
              <w:rPr>
                <w:rFonts w:ascii="Arial" w:hAnsi="Arial" w:cs="Arial" w:eastAsia="Arial"/>
                <w:color w:val="0E1E3A"/>
                <w:sz w:val="17"/>
                <w:szCs w:val="17"/>
                <w:rtl/>
              </w:rPr>
              <w:t>8.60</w:t>
            </w:r>
          </w:p>
        </w:tc>
        <w:tc>
          <w:tcPr>
            <w:tcW w:type="dxa" w:w="1663"/>
          </w:tcPr>
          <w:p>
            <w:pPr>
              <w:bidi w:val="1"/>
              <w:spacing w:before="0" w:after="0" w:line="264" w:lineRule="auto"/>
            </w:pPr>
            <w:r>
              <w:rPr>
                <w:rFonts w:ascii="Arial" w:hAnsi="Arial" w:cs="Arial" w:eastAsia="Arial"/>
                <w:color w:val="0E1E3A"/>
                <w:sz w:val="17"/>
                <w:szCs w:val="17"/>
                <w:rtl/>
              </w:rPr>
              <w:t>16.00</w:t>
            </w:r>
          </w:p>
        </w:tc>
        <w:tc>
          <w:tcPr>
            <w:tcW w:type="dxa" w:w="1663"/>
          </w:tcPr>
          <w:p>
            <w:pPr>
              <w:bidi w:val="1"/>
              <w:spacing w:before="0" w:after="0" w:line="264" w:lineRule="auto"/>
            </w:pPr>
            <w:r>
              <w:rPr>
                <w:rFonts w:ascii="Arial" w:hAnsi="Arial" w:cs="Arial" w:eastAsia="Arial"/>
                <w:color w:val="0E1E3A"/>
                <w:sz w:val="17"/>
                <w:szCs w:val="17"/>
                <w:rtl/>
              </w:rPr>
              <w:t>14.61</w:t>
            </w:r>
          </w:p>
        </w:tc>
        <w:tc>
          <w:tcPr>
            <w:tcW w:type="dxa" w:w="1663"/>
          </w:tcPr>
          <w:p>
            <w:pPr>
              <w:bidi w:val="1"/>
              <w:spacing w:before="0" w:after="0" w:line="264" w:lineRule="auto"/>
            </w:pPr>
            <w:r>
              <w:rPr>
                <w:rFonts w:ascii="Arial" w:hAnsi="Arial" w:cs="Arial" w:eastAsia="Arial"/>
                <w:color w:val="0E1E3A"/>
                <w:sz w:val="17"/>
                <w:szCs w:val="17"/>
                <w:rtl/>
              </w:rPr>
              <w:t>12.75</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شارب</w:t>
            </w:r>
          </w:p>
        </w:tc>
        <w:tc>
          <w:tcPr>
            <w:tcW w:type="dxa" w:w="1663"/>
          </w:tcPr>
          <w:p>
            <w:pPr>
              <w:bidi w:val="1"/>
              <w:spacing w:before="0" w:after="0" w:line="264" w:lineRule="auto"/>
            </w:pPr>
            <w:r>
              <w:rPr>
                <w:rFonts w:ascii="Arial" w:hAnsi="Arial" w:cs="Arial" w:eastAsia="Arial"/>
                <w:color w:val="0E1E3A"/>
                <w:sz w:val="17"/>
                <w:szCs w:val="17"/>
                <w:rtl/>
              </w:rPr>
              <w:t>3.65</w:t>
            </w:r>
          </w:p>
        </w:tc>
        <w:tc>
          <w:tcPr>
            <w:tcW w:type="dxa" w:w="1663"/>
          </w:tcPr>
          <w:p>
            <w:pPr>
              <w:bidi w:val="1"/>
              <w:spacing w:before="0" w:after="0" w:line="264" w:lineRule="auto"/>
            </w:pPr>
            <w:r>
              <w:rPr>
                <w:rFonts w:ascii="Arial" w:hAnsi="Arial" w:cs="Arial" w:eastAsia="Arial"/>
                <w:color w:val="0E1E3A"/>
                <w:sz w:val="17"/>
                <w:szCs w:val="17"/>
                <w:rtl/>
              </w:rPr>
              <w:t>1.09</w:t>
            </w:r>
          </w:p>
        </w:tc>
        <w:tc>
          <w:tcPr>
            <w:tcW w:type="dxa" w:w="1663"/>
          </w:tcPr>
          <w:p>
            <w:pPr>
              <w:bidi w:val="1"/>
              <w:spacing w:before="0" w:after="0" w:line="264" w:lineRule="auto"/>
            </w:pPr>
            <w:r>
              <w:rPr>
                <w:rFonts w:ascii="Arial" w:hAnsi="Arial" w:cs="Arial" w:eastAsia="Arial"/>
                <w:color w:val="0E1E3A"/>
                <w:sz w:val="17"/>
                <w:szCs w:val="17"/>
                <w:rtl/>
              </w:rPr>
              <w:t>0.56</w:t>
            </w:r>
          </w:p>
        </w:tc>
        <w:tc>
          <w:tcPr>
            <w:tcW w:type="dxa" w:w="1663"/>
          </w:tcPr>
          <w:p>
            <w:pPr>
              <w:bidi w:val="1"/>
              <w:spacing w:before="0" w:after="0" w:line="264" w:lineRule="auto"/>
            </w:pPr>
            <w:r>
              <w:rPr>
                <w:rFonts w:ascii="Arial" w:hAnsi="Arial" w:cs="Arial" w:eastAsia="Arial"/>
                <w:color w:val="0E1E3A"/>
                <w:sz w:val="17"/>
                <w:szCs w:val="17"/>
                <w:rtl/>
              </w:rPr>
              <w:t>1.07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خطأ التتبع (Tracking Error)</w:t>
            </w:r>
          </w:p>
        </w:tc>
        <w:tc>
          <w:tcPr>
            <w:tcW w:type="dxa" w:w="1663"/>
          </w:tcPr>
          <w:p>
            <w:pPr>
              <w:bidi w:val="1"/>
              <w:spacing w:before="0" w:after="0" w:line="264" w:lineRule="auto"/>
            </w:pPr>
            <w:r>
              <w:rPr>
                <w:rFonts w:ascii="Arial" w:hAnsi="Arial" w:cs="Arial" w:eastAsia="Arial"/>
                <w:color w:val="0E1E3A"/>
                <w:sz w:val="17"/>
                <w:szCs w:val="17"/>
                <w:rtl/>
              </w:rPr>
              <w:t>1.47</w:t>
            </w:r>
          </w:p>
        </w:tc>
        <w:tc>
          <w:tcPr>
            <w:tcW w:type="dxa" w:w="1663"/>
          </w:tcPr>
          <w:p>
            <w:pPr>
              <w:bidi w:val="1"/>
              <w:spacing w:before="0" w:after="0" w:line="264" w:lineRule="auto"/>
            </w:pPr>
            <w:r>
              <w:rPr>
                <w:rFonts w:ascii="Arial" w:hAnsi="Arial" w:cs="Arial" w:eastAsia="Arial"/>
                <w:color w:val="0E1E3A"/>
                <w:sz w:val="17"/>
                <w:szCs w:val="17"/>
                <w:rtl/>
              </w:rPr>
              <w:t>3.71</w:t>
            </w:r>
          </w:p>
        </w:tc>
        <w:tc>
          <w:tcPr>
            <w:tcW w:type="dxa" w:w="1663"/>
          </w:tcPr>
          <w:p>
            <w:pPr>
              <w:bidi w:val="1"/>
              <w:spacing w:before="0" w:after="0" w:line="264" w:lineRule="auto"/>
            </w:pPr>
            <w:r>
              <w:rPr>
                <w:rFonts w:ascii="Arial" w:hAnsi="Arial" w:cs="Arial" w:eastAsia="Arial"/>
                <w:color w:val="0E1E3A"/>
                <w:sz w:val="17"/>
                <w:szCs w:val="17"/>
                <w:rtl/>
              </w:rPr>
              <w:t>3.30</w:t>
            </w:r>
          </w:p>
        </w:tc>
        <w:tc>
          <w:tcPr>
            <w:tcW w:type="dxa" w:w="1663"/>
          </w:tcPr>
          <w:p>
            <w:pPr>
              <w:bidi w:val="1"/>
              <w:spacing w:before="0" w:after="0" w:line="264" w:lineRule="auto"/>
            </w:pPr>
            <w:r>
              <w:rPr>
                <w:rFonts w:ascii="Arial" w:hAnsi="Arial" w:cs="Arial" w:eastAsia="Arial"/>
                <w:color w:val="0E1E3A"/>
                <w:sz w:val="17"/>
                <w:szCs w:val="17"/>
                <w:rtl/>
              </w:rPr>
              <w:t>7.26</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بيتا (Beta)</w:t>
            </w:r>
          </w:p>
        </w:tc>
        <w:tc>
          <w:tcPr>
            <w:tcW w:type="dxa" w:w="1663"/>
          </w:tcPr>
          <w:p>
            <w:pPr>
              <w:bidi w:val="1"/>
              <w:spacing w:before="0" w:after="0" w:line="264" w:lineRule="auto"/>
            </w:pPr>
            <w:r>
              <w:rPr>
                <w:rFonts w:ascii="Arial" w:hAnsi="Arial" w:cs="Arial" w:eastAsia="Arial"/>
                <w:color w:val="0E1E3A"/>
                <w:sz w:val="17"/>
                <w:szCs w:val="17"/>
                <w:rtl/>
              </w:rPr>
              <w:t>0.97</w:t>
            </w:r>
          </w:p>
        </w:tc>
        <w:tc>
          <w:tcPr>
            <w:tcW w:type="dxa" w:w="1663"/>
          </w:tcPr>
          <w:p>
            <w:pPr>
              <w:bidi w:val="1"/>
              <w:spacing w:before="0" w:after="0" w:line="264" w:lineRule="auto"/>
            </w:pPr>
            <w:r>
              <w:rPr>
                <w:rFonts w:ascii="Arial" w:hAnsi="Arial" w:cs="Arial" w:eastAsia="Arial"/>
                <w:color w:val="0E1E3A"/>
                <w:sz w:val="17"/>
                <w:szCs w:val="17"/>
                <w:rtl/>
              </w:rPr>
              <w:t>0.95</w:t>
            </w:r>
          </w:p>
        </w:tc>
        <w:tc>
          <w:tcPr>
            <w:tcW w:type="dxa" w:w="1663"/>
          </w:tcPr>
          <w:p>
            <w:pPr>
              <w:bidi w:val="1"/>
              <w:spacing w:before="0" w:after="0" w:line="264" w:lineRule="auto"/>
            </w:pPr>
            <w:r>
              <w:rPr>
                <w:rFonts w:ascii="Arial" w:hAnsi="Arial" w:cs="Arial" w:eastAsia="Arial"/>
                <w:color w:val="0E1E3A"/>
                <w:sz w:val="17"/>
                <w:szCs w:val="17"/>
                <w:rtl/>
              </w:rPr>
              <w:t>0.95</w:t>
            </w:r>
          </w:p>
        </w:tc>
        <w:tc>
          <w:tcPr>
            <w:tcW w:type="dxa" w:w="1663"/>
          </w:tcPr>
          <w:p>
            <w:pPr>
              <w:bidi w:val="1"/>
              <w:spacing w:before="0" w:after="0" w:line="264" w:lineRule="auto"/>
            </w:pPr>
            <w:r>
              <w:rPr>
                <w:rFonts w:ascii="Arial" w:hAnsi="Arial" w:cs="Arial" w:eastAsia="Arial"/>
                <w:color w:val="0E1E3A"/>
                <w:sz w:val="17"/>
                <w:szCs w:val="17"/>
                <w:rtl/>
              </w:rPr>
              <w:t>0.83</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ألفا (Alpha)</w:t>
            </w:r>
          </w:p>
        </w:tc>
        <w:tc>
          <w:tcPr>
            <w:tcW w:type="dxa" w:w="1663"/>
          </w:tcPr>
          <w:p>
            <w:pPr>
              <w:bidi w:val="1"/>
              <w:spacing w:before="0" w:after="0" w:line="264" w:lineRule="auto"/>
            </w:pPr>
            <w:r>
              <w:rPr>
                <w:rFonts w:ascii="Arial" w:hAnsi="Arial" w:cs="Arial" w:eastAsia="Arial"/>
                <w:color w:val="0E1E3A"/>
                <w:sz w:val="17"/>
                <w:szCs w:val="17"/>
              </w:rPr>
              <w:t>‎1.43%‎</w:t>
            </w:r>
          </w:p>
        </w:tc>
        <w:tc>
          <w:tcPr>
            <w:tcW w:type="dxa" w:w="1663"/>
          </w:tcPr>
          <w:p>
            <w:pPr>
              <w:bidi w:val="1"/>
              <w:spacing w:before="0" w:after="0" w:line="264" w:lineRule="auto"/>
            </w:pPr>
            <w:r>
              <w:rPr>
                <w:rFonts w:ascii="Arial" w:hAnsi="Arial" w:cs="Arial" w:eastAsia="Arial"/>
                <w:color w:val="0E1E3A"/>
                <w:sz w:val="17"/>
                <w:szCs w:val="17"/>
              </w:rPr>
              <w:t>‎1.89%‎</w:t>
            </w:r>
          </w:p>
        </w:tc>
        <w:tc>
          <w:tcPr>
            <w:tcW w:type="dxa" w:w="1663"/>
          </w:tcPr>
          <w:p>
            <w:pPr>
              <w:bidi w:val="1"/>
              <w:spacing w:before="0" w:after="0" w:line="264" w:lineRule="auto"/>
            </w:pPr>
            <w:r>
              <w:rPr>
                <w:rFonts w:ascii="Arial" w:hAnsi="Arial" w:cs="Arial" w:eastAsia="Arial"/>
                <w:color w:val="0E1E3A"/>
                <w:sz w:val="17"/>
                <w:szCs w:val="17"/>
              </w:rPr>
              <w:t>‎1.95%‎</w:t>
            </w:r>
          </w:p>
        </w:tc>
        <w:tc>
          <w:tcPr>
            <w:tcW w:type="dxa" w:w="1663"/>
          </w:tcPr>
          <w:p>
            <w:pPr>
              <w:bidi w:val="1"/>
              <w:spacing w:before="0" w:after="0" w:line="264" w:lineRule="auto"/>
            </w:pPr>
            <w:r>
              <w:rPr>
                <w:rFonts w:ascii="Arial" w:hAnsi="Arial" w:cs="Arial" w:eastAsia="Arial"/>
                <w:color w:val="0E1E3A"/>
                <w:sz w:val="17"/>
                <w:szCs w:val="17"/>
              </w:rPr>
              <w:t>‎2.37%‎</w:t>
            </w:r>
          </w:p>
        </w:tc>
        <w:tc>
          <w:tcPr>
            <w:tcW w:type="dxa" w:w="1663"/>
          </w:tcPr>
          <w:p>
            <w:pPr>
              <w:bidi w:val="1"/>
              <w:spacing w:before="0" w:after="0" w:line="264" w:lineRule="auto"/>
            </w:pPr>
            <w:r>
              <w:rPr>
                <w:rFonts w:ascii="Arial" w:hAnsi="Arial" w:cs="Arial" w:eastAsia="Arial"/>
                <w:color w:val="0E1E3A"/>
                <w:sz w:val="17"/>
                <w:szCs w:val="17"/>
                <w:rtl/>
              </w:rPr>
              <w:t>لا ينطبق</w:t>
            </w:r>
          </w:p>
        </w:tc>
      </w:tr>
      <w:tr>
        <w:tc>
          <w:tcPr>
            <w:tcW w:type="dxa" w:w="1663"/>
          </w:tcPr>
          <w:p>
            <w:pPr>
              <w:bidi w:val="1"/>
              <w:spacing w:before="0" w:after="0" w:line="264" w:lineRule="auto"/>
            </w:pPr>
            <w:r>
              <w:rPr>
                <w:rFonts w:ascii="Arial" w:hAnsi="Arial" w:cs="Arial" w:eastAsia="Arial"/>
                <w:color w:val="0E1E3A"/>
                <w:sz w:val="17"/>
                <w:szCs w:val="17"/>
                <w:rtl/>
              </w:rPr>
              <w:t>مؤشر المعلومات</w:t>
            </w:r>
          </w:p>
        </w:tc>
        <w:tc>
          <w:tcPr>
            <w:tcW w:type="dxa" w:w="1663"/>
          </w:tcPr>
          <w:p>
            <w:pPr>
              <w:bidi w:val="1"/>
              <w:spacing w:before="0" w:after="0" w:line="264" w:lineRule="auto"/>
            </w:pPr>
            <w:r>
              <w:rPr>
                <w:rFonts w:ascii="Arial" w:hAnsi="Arial" w:cs="Arial" w:eastAsia="Arial"/>
                <w:color w:val="0E1E3A"/>
                <w:sz w:val="17"/>
                <w:szCs w:val="17"/>
                <w:rtl/>
              </w:rPr>
              <w:t>0.97</w:t>
            </w:r>
          </w:p>
        </w:tc>
        <w:tc>
          <w:tcPr>
            <w:tcW w:type="dxa" w:w="1663"/>
          </w:tcPr>
          <w:p>
            <w:pPr>
              <w:bidi w:val="1"/>
              <w:spacing w:before="0" w:after="0" w:line="264" w:lineRule="auto"/>
            </w:pPr>
            <w:r>
              <w:rPr>
                <w:rFonts w:ascii="Arial" w:hAnsi="Arial" w:cs="Arial" w:eastAsia="Arial"/>
                <w:color w:val="0E1E3A"/>
                <w:sz w:val="17"/>
                <w:szCs w:val="17"/>
                <w:rtl/>
              </w:rPr>
              <w:t>0.51</w:t>
            </w:r>
          </w:p>
        </w:tc>
        <w:tc>
          <w:tcPr>
            <w:tcW w:type="dxa" w:w="1663"/>
          </w:tcPr>
          <w:p>
            <w:pPr>
              <w:bidi w:val="1"/>
              <w:spacing w:before="0" w:after="0" w:line="264" w:lineRule="auto"/>
            </w:pPr>
            <w:r>
              <w:rPr>
                <w:rFonts w:ascii="Arial" w:hAnsi="Arial" w:cs="Arial" w:eastAsia="Arial"/>
                <w:color w:val="0E1E3A"/>
                <w:sz w:val="17"/>
                <w:szCs w:val="17"/>
                <w:rtl/>
              </w:rPr>
              <w:t>0.59</w:t>
            </w:r>
          </w:p>
        </w:tc>
        <w:tc>
          <w:tcPr>
            <w:tcW w:type="dxa" w:w="1663"/>
          </w:tcPr>
          <w:p>
            <w:pPr>
              <w:bidi w:val="1"/>
              <w:spacing w:before="0" w:after="0" w:line="264" w:lineRule="auto"/>
            </w:pPr>
            <w:r>
              <w:rPr>
                <w:rFonts w:ascii="Arial" w:hAnsi="Arial" w:cs="Arial" w:eastAsia="Arial"/>
                <w:color w:val="0E1E3A"/>
                <w:sz w:val="17"/>
                <w:szCs w:val="17"/>
                <w:rtl/>
              </w:rPr>
              <w:t>0.33</w:t>
            </w:r>
          </w:p>
        </w:tc>
        <w:tc>
          <w:tcPr>
            <w:tcW w:type="dxa" w:w="1663"/>
          </w:tcPr>
          <w:p>
            <w:pPr>
              <w:bidi w:val="1"/>
              <w:spacing w:before="0" w:after="0" w:line="264" w:lineRule="auto"/>
            </w:pPr>
            <w:r>
              <w:rPr>
                <w:rFonts w:ascii="Arial" w:hAnsi="Arial" w:cs="Arial" w:eastAsia="Arial"/>
                <w:color w:val="0E1E3A"/>
                <w:sz w:val="17"/>
                <w:szCs w:val="17"/>
                <w:rtl/>
              </w:rPr>
              <w:t>لا ينطبق</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56"/>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ع.</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بيان المعادلات المستخدمة لاحتساب معايير 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tcPr>
          <w:p>
            <w:pPr>
              <w:bidi w:val="1"/>
              <w:spacing w:before="0" w:after="0" w:line="264" w:lineRule="auto"/>
            </w:pPr>
            <w:r>
              <w:rPr>
                <w:rFonts w:ascii="Arial" w:hAnsi="Arial" w:cs="Arial" w:eastAsia="Arial"/>
                <w:color w:val="0E1E3A"/>
                <w:sz w:val="17"/>
                <w:szCs w:val="17"/>
                <w:rtl/>
              </w:rPr>
              <w:t>الانحراف المعياري</w:t>
            </w:r>
          </w:p>
        </w:tc>
        <w:tc>
          <w:tcPr>
            <w:tcW w:type="dxa" w:w="3326"/>
          </w:tcPr>
          <w:p>
            <w:pPr>
              <w:bidi w:val="1"/>
              <w:spacing w:before="0" w:after="0" w:line="264" w:lineRule="auto"/>
            </w:pPr>
            <w:r>
              <w:rPr>
                <w:rFonts w:ascii="Arial" w:hAnsi="Arial" w:cs="Arial" w:eastAsia="Arial"/>
                <w:color w:val="0E1E3A"/>
                <w:sz w:val="17"/>
                <w:szCs w:val="17"/>
                <w:rtl/>
              </w:rPr>
              <w:t>σp = √[ 1/(N − 1) · Σ(Rp,i − Rp)²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مؤشر شارب</w:t>
            </w:r>
          </w:p>
        </w:tc>
        <w:tc>
          <w:tcPr>
            <w:tcW w:type="dxa" w:w="3326"/>
          </w:tcPr>
          <w:p>
            <w:pPr>
              <w:bidi w:val="1"/>
              <w:spacing w:before="0" w:after="0" w:line="264" w:lineRule="auto"/>
            </w:pPr>
            <w:r>
              <w:rPr>
                <w:rFonts w:ascii="Arial" w:hAnsi="Arial" w:cs="Arial" w:eastAsia="Arial"/>
                <w:color w:val="0E1E3A"/>
                <w:sz w:val="17"/>
                <w:szCs w:val="17"/>
                <w:rtl/>
              </w:rPr>
              <w:t>[(Average Annualised Return − Risk Free Rate) ÷ Standard Deviation]</w:t>
            </w:r>
          </w:p>
        </w:tc>
        <w:tc>
          <w:tcPr>
            <w:tcW w:type="dxa" w:w="3326"/>
          </w:tcPr>
          <w:p>
            <w:pPr>
              <w:bidi w:val="1"/>
              <w:spacing w:before="0" w:after="0" w:line="264" w:lineRule="auto"/>
            </w:pPr>
          </w:p>
        </w:tc>
      </w:tr>
      <w:tr>
        <w:tc>
          <w:tcPr>
            <w:tcW w:type="dxa" w:w="3326"/>
          </w:tcPr>
          <w:p>
            <w:pPr>
              <w:bidi w:val="1"/>
              <w:spacing w:before="0" w:after="0" w:line="264" w:lineRule="auto"/>
            </w:pPr>
            <w:r>
              <w:rPr>
                <w:rFonts w:ascii="Arial" w:hAnsi="Arial" w:cs="Arial" w:eastAsia="Arial"/>
                <w:color w:val="0E1E3A"/>
                <w:sz w:val="17"/>
                <w:szCs w:val="17"/>
                <w:rtl/>
              </w:rPr>
              <w:t>خطأ التتبع (Tracking Error)</w:t>
            </w:r>
          </w:p>
        </w:tc>
        <w:tc>
          <w:tcPr>
            <w:tcW w:type="dxa" w:w="3326"/>
          </w:tcPr>
          <w:p>
            <w:pPr>
              <w:bidi w:val="1"/>
              <w:spacing w:before="0" w:after="0" w:line="264" w:lineRule="auto"/>
            </w:pPr>
            <w:r>
              <w:rPr>
                <w:rFonts w:ascii="Arial" w:hAnsi="Arial" w:cs="Arial" w:eastAsia="Arial"/>
                <w:color w:val="0E1E3A"/>
                <w:sz w:val="17"/>
                <w:szCs w:val="17"/>
                <w:rtl/>
              </w:rPr>
              <w:t>TE = √[ 1/(N − 1) · Σ[(Rp,i − Rb,i) − (Rp − Rb)]² ]</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Rp,i = Portfolio return in period i</w:t>
            </w:r>
            <w:r>
              <w:br/>
            </w:r>
            <w:r>
              <w:rPr>
                <w:rFonts w:ascii="Arial" w:hAnsi="Arial" w:cs="Arial" w:eastAsia="Arial"/>
                <w:color w:val="0E1E3A"/>
                <w:sz w:val="17"/>
                <w:szCs w:val="17"/>
                <w:rtl/>
              </w:rPr>
              <w:t>Rb,i = Portfolio return in period i</w:t>
            </w:r>
            <w:r>
              <w:br/>
            </w:r>
            <w:r>
              <w:rPr>
                <w:rFonts w:ascii="Arial" w:hAnsi="Arial" w:cs="Arial" w:eastAsia="Arial"/>
                <w:color w:val="0E1E3A"/>
                <w:sz w:val="17"/>
                <w:szCs w:val="17"/>
                <w:rtl/>
              </w:rPr>
              <w:t>Rp = Average portfolio return</w:t>
            </w:r>
            <w:r>
              <w:br/>
            </w:r>
            <w:r>
              <w:rPr>
                <w:rFonts w:ascii="Arial" w:hAnsi="Arial" w:cs="Arial" w:eastAsia="Arial"/>
                <w:color w:val="0E1E3A"/>
                <w:sz w:val="17"/>
                <w:szCs w:val="17"/>
                <w:rtl/>
              </w:rPr>
              <w:t>Rb = Average portfolio return</w:t>
            </w:r>
            <w:r>
              <w:br/>
            </w:r>
            <w:r>
              <w:rPr>
                <w:rFonts w:ascii="Arial" w:hAnsi="Arial" w:cs="Arial" w:eastAsia="Arial"/>
                <w:color w:val="0E1E3A"/>
                <w:sz w:val="17"/>
                <w:szCs w:val="17"/>
                <w:rtl/>
              </w:rPr>
              <w:t>N = Number of periods</w:t>
            </w:r>
          </w:p>
        </w:tc>
      </w:tr>
      <w:tr>
        <w:tc>
          <w:tcPr>
            <w:tcW w:type="dxa" w:w="3326"/>
          </w:tcPr>
          <w:p>
            <w:pPr>
              <w:bidi w:val="1"/>
              <w:spacing w:before="0" w:after="0" w:line="264" w:lineRule="auto"/>
            </w:pPr>
            <w:r>
              <w:rPr>
                <w:rFonts w:ascii="Arial" w:hAnsi="Arial" w:cs="Arial" w:eastAsia="Arial"/>
                <w:color w:val="0E1E3A"/>
                <w:sz w:val="17"/>
                <w:szCs w:val="17"/>
                <w:rtl/>
              </w:rPr>
              <w:t>بيتا (Beta)</w:t>
            </w:r>
          </w:p>
        </w:tc>
        <w:tc>
          <w:tcPr>
            <w:tcW w:type="dxa" w:w="3326"/>
          </w:tcPr>
          <w:p>
            <w:pPr>
              <w:bidi w:val="1"/>
              <w:spacing w:before="0" w:after="0" w:line="264" w:lineRule="auto"/>
            </w:pPr>
            <w:r>
              <w:rPr>
                <w:rFonts w:ascii="Arial" w:hAnsi="Arial" w:cs="Arial" w:eastAsia="Arial"/>
                <w:color w:val="0E1E3A"/>
                <w:sz w:val="17"/>
                <w:szCs w:val="17"/>
                <w:rtl/>
              </w:rPr>
              <w:t>β = Cov(Rp, Rb) / Var (Rb)</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Cov(Rp, Rb)= covariance between portfolio and benchmark returns</w:t>
            </w:r>
            <w:r>
              <w:br/>
            </w:r>
            <w:r>
              <w:rPr>
                <w:rFonts w:ascii="Arial" w:hAnsi="Arial" w:cs="Arial" w:eastAsia="Arial"/>
                <w:color w:val="0E1E3A"/>
                <w:sz w:val="17"/>
                <w:szCs w:val="17"/>
                <w:rtl/>
              </w:rPr>
              <w:t>Var (Rb)= variance of benchmark returns</w:t>
            </w:r>
          </w:p>
        </w:tc>
      </w:tr>
      <w:tr>
        <w:tc>
          <w:tcPr>
            <w:tcW w:type="dxa" w:w="3326"/>
          </w:tcPr>
          <w:p>
            <w:pPr>
              <w:bidi w:val="1"/>
              <w:spacing w:before="0" w:after="0" w:line="264" w:lineRule="auto"/>
            </w:pPr>
            <w:r>
              <w:rPr>
                <w:rFonts w:ascii="Arial" w:hAnsi="Arial" w:cs="Arial" w:eastAsia="Arial"/>
                <w:color w:val="0E1E3A"/>
                <w:sz w:val="17"/>
                <w:szCs w:val="17"/>
                <w:rtl/>
              </w:rPr>
              <w:t>ألفا (Alpha)</w:t>
            </w:r>
          </w:p>
        </w:tc>
        <w:tc>
          <w:tcPr>
            <w:tcW w:type="dxa" w:w="3326"/>
          </w:tcPr>
          <w:p>
            <w:pPr>
              <w:bidi w:val="1"/>
              <w:spacing w:before="0" w:after="0" w:line="264" w:lineRule="auto"/>
            </w:pPr>
            <w:r>
              <w:rPr>
                <w:rFonts w:ascii="Arial" w:hAnsi="Arial" w:cs="Arial" w:eastAsia="Arial"/>
                <w:color w:val="0E1E3A"/>
                <w:sz w:val="17"/>
                <w:szCs w:val="17"/>
                <w:rtl/>
              </w:rPr>
              <w:t>α = Rp − [ Rf + β ∗ (Rb − Rf)]</w:t>
            </w:r>
          </w:p>
        </w:tc>
        <w:tc>
          <w:tcPr>
            <w:tcW w:type="dxa" w:w="3326"/>
          </w:tcPr>
          <w:p>
            <w:pPr>
              <w:bidi w:val="1"/>
              <w:spacing w:before="0" w:after="0" w:line="264" w:lineRule="auto"/>
            </w:pPr>
            <w:r>
              <w:rPr>
                <w:rFonts w:ascii="Arial" w:hAnsi="Arial" w:cs="Arial" w:eastAsia="Arial"/>
                <w:color w:val="0E1E3A"/>
                <w:sz w:val="17"/>
                <w:szCs w:val="17"/>
                <w:rtl/>
              </w:rPr>
              <w:t>Where</w:t>
            </w:r>
            <w:r>
              <w:br/>
            </w:r>
            <w:r>
              <w:rPr>
                <w:rFonts w:ascii="Arial" w:hAnsi="Arial" w:cs="Arial" w:eastAsia="Arial"/>
                <w:color w:val="0E1E3A"/>
                <w:sz w:val="17"/>
                <w:szCs w:val="17"/>
                <w:rtl/>
              </w:rPr>
              <w:t>(Rp)= average portfolio return</w:t>
            </w:r>
            <w:r>
              <w:br/>
            </w:r>
            <w:r>
              <w:rPr>
                <w:rFonts w:ascii="Arial" w:hAnsi="Arial" w:cs="Arial" w:eastAsia="Arial"/>
                <w:color w:val="0E1E3A"/>
                <w:sz w:val="17"/>
                <w:szCs w:val="17"/>
                <w:rtl/>
              </w:rPr>
              <w:t>(Rb)= average benchmark return</w:t>
            </w:r>
            <w:r>
              <w:br/>
            </w:r>
            <w:r>
              <w:rPr>
                <w:rFonts w:ascii="Arial" w:hAnsi="Arial" w:cs="Arial" w:eastAsia="Arial"/>
                <w:color w:val="0E1E3A"/>
                <w:sz w:val="17"/>
                <w:szCs w:val="17"/>
                <w:rtl/>
              </w:rPr>
              <w:t>(Rf)= risk free rate</w:t>
            </w:r>
            <w:r>
              <w:br/>
            </w:r>
            <w:r>
              <w:rPr>
                <w:rFonts w:ascii="Arial" w:hAnsi="Arial" w:cs="Arial" w:eastAsia="Arial"/>
                <w:color w:val="0E1E3A"/>
                <w:sz w:val="17"/>
                <w:szCs w:val="17"/>
                <w:rtl/>
              </w:rPr>
              <w:t>β= portfolio beta</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57"/>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3B7DD8"/>
          <w:sz w:val="26"/>
          <w:szCs w:val="26"/>
          <w:rtl/>
        </w:rPr>
        <w:t>ف.</w:t>
      </w:r>
      <w:r>
        <w:rPr>
          <w:rFonts w:ascii="Arial" w:hAnsi="Arial" w:cs="Arial" w:eastAsia="Arial"/>
          <w:b/>
          <w:bCs/>
          <w:color w:val="3B7DD8"/>
          <w:sz w:val="26"/>
          <w:szCs w:val="26"/>
          <w:rtl/>
        </w:rPr>
        <w:t xml:space="preserve">  </w:t>
      </w:r>
      <w:r>
        <w:rPr>
          <w:rFonts w:ascii="Arial" w:hAnsi="Arial" w:cs="Arial" w:eastAsia="Arial"/>
          <w:b/>
          <w:bCs/>
          <w:color w:val="12284B"/>
          <w:sz w:val="26"/>
          <w:szCs w:val="26"/>
          <w:rtl/>
        </w:rPr>
        <w:t>رسم بياني يوضح الأداء منذ بداية الصندوق:</w:t>
      </w:r>
    </w:p>
    <w:p>
      <w:pPr>
        <w:bidi w:val="1"/>
        <w:spacing w:before="0" w:after="80" w:line="240" w:lineRule="auto"/>
        <w:jc w:val="center"/>
      </w:pPr>
      <w:r>
        <w:drawing>
          <wp:inline xmlns:a="http://schemas.openxmlformats.org/drawingml/2006/main" xmlns:pic="http://schemas.openxmlformats.org/drawingml/2006/picture">
            <wp:extent cx="6336000" cy="3196541"/>
            <wp:docPr id="22" name="Picture 9058"/>
            <wp:cNvGraphicFramePr>
              <a:graphicFrameLocks noChangeAspect="1"/>
            </wp:cNvGraphicFramePr>
            <a:graphic>
              <a:graphicData uri="http://schemas.openxmlformats.org/drawingml/2006/picture">
                <pic:pic>
                  <pic:nvPicPr>
                    <pic:cNvPr id="0" name="x5.j.jpg"/>
                    <pic:cNvPicPr/>
                  </pic:nvPicPr>
                  <pic:blipFill>
                    <a:blip r:embed="rId22"/>
                    <a:stretch>
                      <a:fillRect/>
                    </a:stretch>
                  </pic:blipFill>
                  <pic:spPr>
                    <a:xfrm>
                      <a:off x="0" y="0"/>
                      <a:ext cx="6336000" cy="319654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كما في تاريخ 30 سبتمبر 2025م.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59"/>
            <wp:cNvGraphicFramePr>
              <a:graphicFrameLocks noChangeAspect="1"/>
            </wp:cNvGraphicFramePr>
            <a:graphic>
              <a:graphicData uri="http://schemas.openxmlformats.org/drawingml/2006/picture">
                <pic:pic>
                  <pic:nvPicPr>
                    <pic:cNvPr id="0" name="ico_8eba3796ad497c7a142d47da7c90fea0.png"/>
                    <pic:cNvPicPr/>
                  </pic:nvPicPr>
                  <pic:blipFill>
                    <a:blip r:embed="rId23"/>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المزيد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4" name="Picture 9060"/>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للنمو والدخل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للنمو والدخل المتداول"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png"/><Relationship Id="rId18" Type="http://schemas.openxmlformats.org/officeDocument/2006/relationships/image" Target="media/image6.jpg"/><Relationship Id="rId19" Type="http://schemas.openxmlformats.org/officeDocument/2006/relationships/image" Target="media/image7.jp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jpg"/><Relationship Id="rId23" Type="http://schemas.openxmlformats.org/officeDocument/2006/relationships/image" Target="media/image11.pn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للنمو والدخل — البيان الربع سنوي الربع الثالث 2025م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